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96" w:type="dxa"/>
        <w:tblInd w:w="-436" w:type="dxa"/>
        <w:tblCellMar>
          <w:left w:w="70" w:type="dxa"/>
          <w:right w:w="70" w:type="dxa"/>
        </w:tblCellMar>
        <w:tblLook w:val="04A0" w:firstRow="1" w:lastRow="0" w:firstColumn="1" w:lastColumn="0" w:noHBand="0" w:noVBand="1"/>
      </w:tblPr>
      <w:tblGrid>
        <w:gridCol w:w="3251"/>
        <w:gridCol w:w="6945"/>
      </w:tblGrid>
      <w:tr w:rsidR="006D5476" w:rsidRPr="005B3093" w14:paraId="11C47F68" w14:textId="77777777" w:rsidTr="0039471E">
        <w:trPr>
          <w:trHeight w:val="480"/>
        </w:trPr>
        <w:tc>
          <w:tcPr>
            <w:tcW w:w="3251" w:type="dxa"/>
            <w:tcBorders>
              <w:top w:val="single" w:sz="8" w:space="0" w:color="000000"/>
              <w:left w:val="single" w:sz="8" w:space="0" w:color="000000"/>
              <w:bottom w:val="single" w:sz="8" w:space="0" w:color="000000"/>
              <w:right w:val="single" w:sz="4" w:space="0" w:color="000000"/>
            </w:tcBorders>
            <w:shd w:val="clear" w:color="000000" w:fill="DDEBF7"/>
            <w:vAlign w:val="center"/>
            <w:hideMark/>
          </w:tcPr>
          <w:p w14:paraId="2ACF0FF8" w14:textId="77777777" w:rsidR="006D5476" w:rsidRPr="006D5476" w:rsidRDefault="006D5476" w:rsidP="006D5476">
            <w:pPr>
              <w:jc w:val="center"/>
              <w:rPr>
                <w:rFonts w:ascii="Calibri" w:hAnsi="Calibri"/>
                <w:b/>
                <w:bCs/>
                <w:color w:val="000000"/>
                <w:sz w:val="24"/>
                <w:szCs w:val="36"/>
              </w:rPr>
            </w:pPr>
            <w:r w:rsidRPr="006D5476">
              <w:rPr>
                <w:rFonts w:ascii="Calibri" w:hAnsi="Calibri"/>
                <w:b/>
                <w:bCs/>
                <w:color w:val="000000"/>
                <w:sz w:val="24"/>
                <w:szCs w:val="36"/>
              </w:rPr>
              <w:t xml:space="preserve">Název </w:t>
            </w:r>
            <w:proofErr w:type="spellStart"/>
            <w:r w:rsidRPr="006D5476">
              <w:rPr>
                <w:rFonts w:ascii="Calibri" w:hAnsi="Calibri"/>
                <w:b/>
                <w:bCs/>
                <w:color w:val="000000"/>
                <w:sz w:val="24"/>
                <w:szCs w:val="36"/>
              </w:rPr>
              <w:t>Fiche</w:t>
            </w:r>
            <w:proofErr w:type="spellEnd"/>
          </w:p>
        </w:tc>
        <w:tc>
          <w:tcPr>
            <w:tcW w:w="6945" w:type="dxa"/>
            <w:tcBorders>
              <w:top w:val="single" w:sz="8" w:space="0" w:color="000000"/>
              <w:left w:val="nil"/>
              <w:bottom w:val="single" w:sz="8" w:space="0" w:color="000000"/>
              <w:right w:val="single" w:sz="8" w:space="0" w:color="000000"/>
            </w:tcBorders>
            <w:shd w:val="clear" w:color="000000" w:fill="E2EFDA"/>
            <w:hideMark/>
          </w:tcPr>
          <w:p w14:paraId="64A46506" w14:textId="77777777" w:rsidR="006D5476" w:rsidRDefault="006D5476" w:rsidP="006D5476">
            <w:pPr>
              <w:rPr>
                <w:rFonts w:ascii="Calibri" w:hAnsi="Calibri"/>
                <w:b/>
                <w:bCs/>
                <w:color w:val="000000"/>
                <w:sz w:val="36"/>
                <w:szCs w:val="36"/>
              </w:rPr>
            </w:pPr>
            <w:r>
              <w:rPr>
                <w:rFonts w:ascii="Calibri" w:hAnsi="Calibri"/>
                <w:b/>
                <w:bCs/>
                <w:color w:val="000000"/>
                <w:sz w:val="36"/>
                <w:szCs w:val="36"/>
              </w:rPr>
              <w:t>10. Podnikání</w:t>
            </w:r>
          </w:p>
        </w:tc>
      </w:tr>
      <w:tr w:rsidR="006D5476" w:rsidRPr="005B3093" w14:paraId="03AA7FA2" w14:textId="77777777" w:rsidTr="0039471E">
        <w:trPr>
          <w:trHeight w:val="420"/>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3A5885A9" w14:textId="77777777" w:rsidR="006D5476" w:rsidRPr="006D5476" w:rsidRDefault="006D5476" w:rsidP="006D5476">
            <w:pPr>
              <w:jc w:val="center"/>
              <w:rPr>
                <w:rFonts w:ascii="Calibri" w:hAnsi="Calibri"/>
                <w:b/>
                <w:bCs/>
                <w:color w:val="000000"/>
                <w:sz w:val="24"/>
                <w:szCs w:val="32"/>
              </w:rPr>
            </w:pPr>
            <w:r w:rsidRPr="006D5476">
              <w:rPr>
                <w:rFonts w:ascii="Calibri" w:hAnsi="Calibri"/>
                <w:b/>
                <w:bCs/>
                <w:color w:val="000000"/>
                <w:sz w:val="24"/>
                <w:szCs w:val="32"/>
              </w:rPr>
              <w:t>Vazba na článek Nařízení PRV</w:t>
            </w:r>
          </w:p>
        </w:tc>
        <w:tc>
          <w:tcPr>
            <w:tcW w:w="6945" w:type="dxa"/>
            <w:tcBorders>
              <w:top w:val="nil"/>
              <w:left w:val="nil"/>
              <w:bottom w:val="single" w:sz="4" w:space="0" w:color="000000"/>
              <w:right w:val="single" w:sz="8" w:space="0" w:color="000000"/>
            </w:tcBorders>
            <w:shd w:val="clear" w:color="auto" w:fill="auto"/>
            <w:noWrap/>
            <w:hideMark/>
          </w:tcPr>
          <w:p w14:paraId="710C65CE" w14:textId="77777777" w:rsidR="006D5476" w:rsidRPr="006D5476" w:rsidRDefault="006D5476" w:rsidP="006D5476">
            <w:pPr>
              <w:rPr>
                <w:rFonts w:ascii="Calibri" w:hAnsi="Calibri"/>
                <w:color w:val="000000"/>
                <w:sz w:val="24"/>
              </w:rPr>
            </w:pPr>
            <w:r w:rsidRPr="006D5476">
              <w:rPr>
                <w:rFonts w:ascii="Calibri" w:hAnsi="Calibri"/>
                <w:color w:val="000000"/>
                <w:sz w:val="24"/>
              </w:rPr>
              <w:t>Čl. 19, odstavec 1., písmeno b)</w:t>
            </w:r>
          </w:p>
        </w:tc>
      </w:tr>
      <w:tr w:rsidR="006D5476" w:rsidRPr="005B3093" w14:paraId="06FF3F65" w14:textId="77777777" w:rsidTr="0039471E">
        <w:trPr>
          <w:trHeight w:val="900"/>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3EEF1DA1" w14:textId="77777777" w:rsidR="006D5476" w:rsidRPr="006D5476" w:rsidRDefault="006D5476" w:rsidP="006D5476">
            <w:pPr>
              <w:jc w:val="center"/>
              <w:rPr>
                <w:rFonts w:ascii="Calibri" w:hAnsi="Calibri"/>
                <w:b/>
                <w:bCs/>
                <w:color w:val="000000"/>
                <w:sz w:val="24"/>
                <w:szCs w:val="32"/>
              </w:rPr>
            </w:pPr>
            <w:r w:rsidRPr="006D5476">
              <w:rPr>
                <w:rFonts w:ascii="Calibri" w:hAnsi="Calibri"/>
                <w:b/>
                <w:bCs/>
                <w:color w:val="000000"/>
                <w:sz w:val="24"/>
                <w:szCs w:val="32"/>
              </w:rPr>
              <w:t xml:space="preserve">Stručný popis </w:t>
            </w:r>
            <w:proofErr w:type="spellStart"/>
            <w:r w:rsidRPr="006D5476">
              <w:rPr>
                <w:rFonts w:ascii="Calibri" w:hAnsi="Calibri"/>
                <w:b/>
                <w:bCs/>
                <w:color w:val="000000"/>
                <w:sz w:val="24"/>
                <w:szCs w:val="32"/>
              </w:rPr>
              <w:t>Fiche</w:t>
            </w:r>
            <w:proofErr w:type="spellEnd"/>
          </w:p>
        </w:tc>
        <w:tc>
          <w:tcPr>
            <w:tcW w:w="6945" w:type="dxa"/>
            <w:tcBorders>
              <w:top w:val="nil"/>
              <w:left w:val="nil"/>
              <w:bottom w:val="single" w:sz="4" w:space="0" w:color="000000"/>
              <w:right w:val="single" w:sz="8" w:space="0" w:color="000000"/>
            </w:tcBorders>
            <w:shd w:val="clear" w:color="auto" w:fill="auto"/>
            <w:hideMark/>
          </w:tcPr>
          <w:p w14:paraId="765070AB" w14:textId="53BC661B" w:rsidR="006D5476" w:rsidRPr="006D5476" w:rsidRDefault="006D5476" w:rsidP="006D5476">
            <w:pPr>
              <w:rPr>
                <w:rFonts w:ascii="Calibri" w:hAnsi="Calibri"/>
                <w:color w:val="000000"/>
                <w:sz w:val="24"/>
              </w:rPr>
            </w:pPr>
            <w:r w:rsidRPr="006D5476">
              <w:rPr>
                <w:rFonts w:ascii="Calibri" w:hAnsi="Calibri"/>
                <w:color w:val="000000"/>
                <w:sz w:val="24"/>
              </w:rPr>
              <w:t xml:space="preserve">Podpora v rámci tohoto článku zahrnuje investice na založení </w:t>
            </w:r>
            <w:r w:rsidR="002D790E">
              <w:rPr>
                <w:rFonts w:ascii="Calibri" w:hAnsi="Calibri"/>
                <w:color w:val="000000"/>
                <w:sz w:val="24"/>
              </w:rPr>
              <w:t xml:space="preserve">a </w:t>
            </w:r>
            <w:r w:rsidRPr="006D5476">
              <w:rPr>
                <w:rFonts w:ascii="Calibri" w:hAnsi="Calibri"/>
                <w:color w:val="000000"/>
                <w:sz w:val="24"/>
              </w:rPr>
              <w:t xml:space="preserve">rozvoj nezemědělských činností. </w:t>
            </w:r>
          </w:p>
        </w:tc>
      </w:tr>
      <w:tr w:rsidR="006D5476" w:rsidRPr="005B3093" w14:paraId="0D3B414A" w14:textId="77777777" w:rsidTr="0039471E">
        <w:trPr>
          <w:trHeight w:val="900"/>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092FAF21" w14:textId="77777777" w:rsidR="006D5476" w:rsidRPr="006D5476" w:rsidRDefault="006D5476" w:rsidP="006D5476">
            <w:pPr>
              <w:jc w:val="center"/>
              <w:rPr>
                <w:rFonts w:ascii="Calibri" w:hAnsi="Calibri"/>
                <w:b/>
                <w:bCs/>
                <w:color w:val="000000"/>
                <w:sz w:val="24"/>
                <w:szCs w:val="32"/>
              </w:rPr>
            </w:pPr>
            <w:r w:rsidRPr="006D5476">
              <w:rPr>
                <w:rFonts w:ascii="Calibri" w:hAnsi="Calibri"/>
                <w:b/>
                <w:bCs/>
                <w:color w:val="000000"/>
                <w:sz w:val="24"/>
                <w:szCs w:val="32"/>
              </w:rPr>
              <w:t>Vazba na cíle SCLLD</w:t>
            </w:r>
          </w:p>
        </w:tc>
        <w:tc>
          <w:tcPr>
            <w:tcW w:w="6945" w:type="dxa"/>
            <w:tcBorders>
              <w:top w:val="nil"/>
              <w:left w:val="nil"/>
              <w:bottom w:val="single" w:sz="4" w:space="0" w:color="000000"/>
              <w:right w:val="single" w:sz="8" w:space="0" w:color="000000"/>
            </w:tcBorders>
            <w:shd w:val="clear" w:color="auto" w:fill="auto"/>
            <w:hideMark/>
          </w:tcPr>
          <w:p w14:paraId="055E49A0" w14:textId="71FFB6FB" w:rsidR="006D5476" w:rsidRPr="00A94A3D" w:rsidRDefault="006D5476" w:rsidP="006D5476">
            <w:pPr>
              <w:rPr>
                <w:rFonts w:ascii="Calibri" w:hAnsi="Calibri"/>
                <w:color w:val="FF0000"/>
                <w:sz w:val="24"/>
              </w:rPr>
            </w:pPr>
          </w:p>
        </w:tc>
      </w:tr>
      <w:tr w:rsidR="006D5476" w:rsidRPr="005B3093" w14:paraId="54364BB9" w14:textId="77777777" w:rsidTr="0039471E">
        <w:trPr>
          <w:trHeight w:val="708"/>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35447645" w14:textId="77777777" w:rsidR="006D5476" w:rsidRPr="006D5476" w:rsidRDefault="006D5476" w:rsidP="006D5476">
            <w:pPr>
              <w:jc w:val="center"/>
              <w:rPr>
                <w:rFonts w:ascii="Calibri" w:hAnsi="Calibri"/>
                <w:b/>
                <w:bCs/>
                <w:color w:val="000000"/>
                <w:sz w:val="24"/>
                <w:szCs w:val="32"/>
              </w:rPr>
            </w:pPr>
            <w:r w:rsidRPr="006D5476">
              <w:rPr>
                <w:rFonts w:ascii="Calibri" w:hAnsi="Calibri"/>
                <w:b/>
                <w:bCs/>
                <w:color w:val="000000"/>
                <w:sz w:val="24"/>
                <w:szCs w:val="32"/>
              </w:rPr>
              <w:t xml:space="preserve">Oblasti </w:t>
            </w:r>
            <w:proofErr w:type="gramStart"/>
            <w:r w:rsidRPr="006D5476">
              <w:rPr>
                <w:rFonts w:ascii="Calibri" w:hAnsi="Calibri"/>
                <w:b/>
                <w:bCs/>
                <w:color w:val="000000"/>
                <w:sz w:val="24"/>
                <w:szCs w:val="32"/>
              </w:rPr>
              <w:t>podpory - Popis</w:t>
            </w:r>
            <w:proofErr w:type="gramEnd"/>
            <w:r w:rsidRPr="006D5476">
              <w:rPr>
                <w:rFonts w:ascii="Calibri" w:hAnsi="Calibri"/>
                <w:b/>
                <w:bCs/>
                <w:color w:val="000000"/>
                <w:sz w:val="24"/>
                <w:szCs w:val="32"/>
              </w:rPr>
              <w:t xml:space="preserve"> podporovaných aktivit dle SCLLD a jednotlivých specifických cílů/článků Nařízení PRV vycházející z potřeb území)</w:t>
            </w:r>
          </w:p>
        </w:tc>
        <w:tc>
          <w:tcPr>
            <w:tcW w:w="6945" w:type="dxa"/>
            <w:tcBorders>
              <w:top w:val="nil"/>
              <w:left w:val="nil"/>
              <w:bottom w:val="single" w:sz="4" w:space="0" w:color="000000"/>
              <w:right w:val="single" w:sz="8" w:space="0" w:color="000000"/>
            </w:tcBorders>
            <w:shd w:val="clear" w:color="auto" w:fill="auto"/>
            <w:hideMark/>
          </w:tcPr>
          <w:p w14:paraId="1E7A0C5C" w14:textId="2DE8E394" w:rsidR="006D5476" w:rsidRDefault="00F520A9" w:rsidP="006D5476">
            <w:pPr>
              <w:rPr>
                <w:rFonts w:ascii="Calibri" w:hAnsi="Calibri"/>
                <w:color w:val="000000"/>
                <w:sz w:val="24"/>
              </w:rPr>
            </w:pPr>
            <w:r>
              <w:rPr>
                <w:rFonts w:ascii="Calibri" w:hAnsi="Calibri"/>
                <w:color w:val="000000"/>
                <w:sz w:val="24"/>
              </w:rPr>
              <w:t>Projekt je zaměřen pouze na vybrané činnosti uvedené v </w:t>
            </w:r>
            <w:proofErr w:type="gramStart"/>
            <w:r>
              <w:rPr>
                <w:rFonts w:ascii="Calibri" w:hAnsi="Calibri"/>
                <w:color w:val="000000"/>
                <w:sz w:val="24"/>
              </w:rPr>
              <w:t xml:space="preserve">Klasifikaci </w:t>
            </w:r>
            <w:r w:rsidR="006D5476" w:rsidRPr="006D5476">
              <w:rPr>
                <w:rFonts w:ascii="Calibri" w:hAnsi="Calibri"/>
                <w:color w:val="000000"/>
                <w:sz w:val="24"/>
              </w:rPr>
              <w:t xml:space="preserve"> ekonomických</w:t>
            </w:r>
            <w:proofErr w:type="gramEnd"/>
            <w:r w:rsidR="006D5476" w:rsidRPr="006D5476">
              <w:rPr>
                <w:rFonts w:ascii="Calibri" w:hAnsi="Calibri"/>
                <w:color w:val="000000"/>
                <w:sz w:val="24"/>
              </w:rPr>
              <w:t xml:space="preserve"> činností (CZ-NACE)</w:t>
            </w:r>
          </w:p>
          <w:p w14:paraId="4B38F05A" w14:textId="77777777" w:rsidR="006D5476" w:rsidRDefault="006D5476" w:rsidP="006D5476">
            <w:pPr>
              <w:pStyle w:val="Odstavecseseznamem"/>
              <w:numPr>
                <w:ilvl w:val="0"/>
                <w:numId w:val="12"/>
              </w:numPr>
              <w:ind w:left="363" w:hanging="284"/>
              <w:rPr>
                <w:rFonts w:ascii="Calibri" w:hAnsi="Calibri"/>
                <w:color w:val="000000"/>
                <w:sz w:val="24"/>
              </w:rPr>
            </w:pPr>
            <w:r w:rsidRPr="006D5476">
              <w:rPr>
                <w:rFonts w:ascii="Calibri" w:hAnsi="Calibri"/>
                <w:color w:val="000000"/>
                <w:sz w:val="24"/>
              </w:rPr>
              <w:t xml:space="preserve">C (Zpracovatelský průmysl s výjimkou činností v odvětví oceli, v uhelném průmyslu, v odvětví stavby lodí, v odvětví výroby syntetických vláken dle čl. 13 písm. a) NK (EU) č. 651/2014, a dále s výjimkou tříd 12.00 Výroba tabákových výrobků a 25.40 Výroba zbraní a střeliva), </w:t>
            </w:r>
          </w:p>
          <w:p w14:paraId="626978BF" w14:textId="77777777" w:rsidR="006D5476" w:rsidRDefault="006D5476" w:rsidP="006D5476">
            <w:pPr>
              <w:pStyle w:val="Odstavecseseznamem"/>
              <w:numPr>
                <w:ilvl w:val="0"/>
                <w:numId w:val="12"/>
              </w:numPr>
              <w:ind w:left="363" w:hanging="284"/>
              <w:rPr>
                <w:rFonts w:ascii="Calibri" w:hAnsi="Calibri"/>
                <w:color w:val="000000"/>
                <w:sz w:val="24"/>
              </w:rPr>
            </w:pPr>
            <w:r w:rsidRPr="006D5476">
              <w:rPr>
                <w:rFonts w:ascii="Calibri" w:hAnsi="Calibri"/>
                <w:color w:val="000000"/>
                <w:sz w:val="24"/>
              </w:rPr>
              <w:t xml:space="preserve">F (Stavebnictví s výjimkou skupiny 41.1 Developerská činnost), </w:t>
            </w:r>
          </w:p>
          <w:p w14:paraId="034A1F3E" w14:textId="77777777" w:rsidR="006D5476" w:rsidRDefault="006D5476" w:rsidP="006D5476">
            <w:pPr>
              <w:pStyle w:val="Odstavecseseznamem"/>
              <w:numPr>
                <w:ilvl w:val="0"/>
                <w:numId w:val="12"/>
              </w:numPr>
              <w:ind w:left="363" w:hanging="284"/>
              <w:rPr>
                <w:rFonts w:ascii="Calibri" w:hAnsi="Calibri"/>
                <w:color w:val="000000"/>
                <w:sz w:val="24"/>
              </w:rPr>
            </w:pPr>
            <w:r w:rsidRPr="006D5476">
              <w:rPr>
                <w:rFonts w:ascii="Calibri" w:hAnsi="Calibri"/>
                <w:color w:val="000000"/>
                <w:sz w:val="24"/>
              </w:rPr>
              <w:t xml:space="preserve">G (Velkoobchod a maloobchod; opravy a údržba motorových vozidel s výjimkou oddílu 46 a skupiny 47.3 Maloobchod s pohonnými hmotami ve specializovaných prodejnách), </w:t>
            </w:r>
          </w:p>
          <w:p w14:paraId="4D9D378F" w14:textId="77777777" w:rsidR="006D5476" w:rsidRDefault="006D5476" w:rsidP="006D5476">
            <w:pPr>
              <w:pStyle w:val="Odstavecseseznamem"/>
              <w:numPr>
                <w:ilvl w:val="0"/>
                <w:numId w:val="12"/>
              </w:numPr>
              <w:ind w:left="363" w:hanging="284"/>
              <w:rPr>
                <w:rFonts w:ascii="Calibri" w:hAnsi="Calibri"/>
                <w:color w:val="000000"/>
                <w:sz w:val="24"/>
              </w:rPr>
            </w:pPr>
            <w:r w:rsidRPr="006D5476">
              <w:rPr>
                <w:rFonts w:ascii="Calibri" w:hAnsi="Calibri"/>
                <w:color w:val="000000"/>
                <w:sz w:val="24"/>
              </w:rPr>
              <w:t xml:space="preserve">I (Ubytování, stravování a pohostinství), </w:t>
            </w:r>
          </w:p>
          <w:p w14:paraId="23693EF9" w14:textId="77777777" w:rsidR="006D5476" w:rsidRDefault="006D5476" w:rsidP="006D5476">
            <w:pPr>
              <w:pStyle w:val="Odstavecseseznamem"/>
              <w:numPr>
                <w:ilvl w:val="0"/>
                <w:numId w:val="12"/>
              </w:numPr>
              <w:ind w:left="363" w:hanging="284"/>
              <w:rPr>
                <w:rFonts w:ascii="Calibri" w:hAnsi="Calibri"/>
                <w:color w:val="000000"/>
                <w:sz w:val="24"/>
              </w:rPr>
            </w:pPr>
            <w:r w:rsidRPr="006D5476">
              <w:rPr>
                <w:rFonts w:ascii="Calibri" w:hAnsi="Calibri"/>
                <w:color w:val="000000"/>
                <w:sz w:val="24"/>
              </w:rPr>
              <w:t xml:space="preserve">J (Informační a komunikační činnosti s výjimkou oddílů 60 a 61), </w:t>
            </w:r>
          </w:p>
          <w:p w14:paraId="17A18EA8" w14:textId="77777777" w:rsidR="006D5476" w:rsidRDefault="006D5476" w:rsidP="006D5476">
            <w:pPr>
              <w:pStyle w:val="Odstavecseseznamem"/>
              <w:numPr>
                <w:ilvl w:val="0"/>
                <w:numId w:val="12"/>
              </w:numPr>
              <w:ind w:left="363" w:hanging="284"/>
              <w:rPr>
                <w:rFonts w:ascii="Calibri" w:hAnsi="Calibri"/>
                <w:color w:val="000000"/>
                <w:sz w:val="24"/>
              </w:rPr>
            </w:pPr>
            <w:r w:rsidRPr="006D5476">
              <w:rPr>
                <w:rFonts w:ascii="Calibri" w:hAnsi="Calibri"/>
                <w:color w:val="000000"/>
                <w:sz w:val="24"/>
              </w:rPr>
              <w:t xml:space="preserve">M (Profesní, vědecké a technické činnosti s výjimkou oddílu 70), </w:t>
            </w:r>
          </w:p>
          <w:p w14:paraId="2BEA7F5A" w14:textId="77777777" w:rsidR="006D5476" w:rsidRDefault="006D5476" w:rsidP="006D5476">
            <w:pPr>
              <w:pStyle w:val="Odstavecseseznamem"/>
              <w:numPr>
                <w:ilvl w:val="0"/>
                <w:numId w:val="12"/>
              </w:numPr>
              <w:ind w:left="363" w:hanging="284"/>
              <w:rPr>
                <w:rFonts w:ascii="Calibri" w:hAnsi="Calibri"/>
                <w:color w:val="000000"/>
                <w:sz w:val="24"/>
              </w:rPr>
            </w:pPr>
            <w:r w:rsidRPr="006D5476">
              <w:rPr>
                <w:rFonts w:ascii="Calibri" w:hAnsi="Calibri"/>
                <w:color w:val="000000"/>
                <w:sz w:val="24"/>
              </w:rPr>
              <w:t xml:space="preserve">N 79 (Činnosti cestovních kanceláří a agentur a ostatní rezervační služby), </w:t>
            </w:r>
          </w:p>
          <w:p w14:paraId="5E245BA3" w14:textId="77777777" w:rsidR="006D5476" w:rsidRDefault="006D5476" w:rsidP="006D5476">
            <w:pPr>
              <w:pStyle w:val="Odstavecseseznamem"/>
              <w:numPr>
                <w:ilvl w:val="0"/>
                <w:numId w:val="12"/>
              </w:numPr>
              <w:ind w:left="363" w:hanging="284"/>
              <w:rPr>
                <w:rFonts w:ascii="Calibri" w:hAnsi="Calibri"/>
                <w:color w:val="000000"/>
                <w:sz w:val="24"/>
              </w:rPr>
            </w:pPr>
            <w:r w:rsidRPr="006D5476">
              <w:rPr>
                <w:rFonts w:ascii="Calibri" w:hAnsi="Calibri"/>
                <w:color w:val="000000"/>
                <w:sz w:val="24"/>
              </w:rPr>
              <w:t xml:space="preserve">N 81 (Činnosti související se stavbami a úpravou krajiny s výjimkou skupiny 81.1), </w:t>
            </w:r>
          </w:p>
          <w:p w14:paraId="33DC620B" w14:textId="77777777" w:rsidR="006D5476" w:rsidRDefault="006D5476" w:rsidP="006D5476">
            <w:pPr>
              <w:pStyle w:val="Odstavecseseznamem"/>
              <w:numPr>
                <w:ilvl w:val="0"/>
                <w:numId w:val="12"/>
              </w:numPr>
              <w:ind w:left="363" w:hanging="284"/>
              <w:rPr>
                <w:rFonts w:ascii="Calibri" w:hAnsi="Calibri"/>
                <w:color w:val="000000"/>
                <w:sz w:val="24"/>
              </w:rPr>
            </w:pPr>
            <w:r w:rsidRPr="006D5476">
              <w:rPr>
                <w:rFonts w:ascii="Calibri" w:hAnsi="Calibri"/>
                <w:color w:val="000000"/>
                <w:sz w:val="24"/>
              </w:rPr>
              <w:t xml:space="preserve">N 82.1 (Administrativní a kancelářské činnosti), </w:t>
            </w:r>
          </w:p>
          <w:p w14:paraId="28AA1411" w14:textId="77777777" w:rsidR="006D5476" w:rsidRDefault="006D5476" w:rsidP="006D5476">
            <w:pPr>
              <w:pStyle w:val="Odstavecseseznamem"/>
              <w:numPr>
                <w:ilvl w:val="0"/>
                <w:numId w:val="12"/>
              </w:numPr>
              <w:ind w:left="363" w:hanging="284"/>
              <w:rPr>
                <w:rFonts w:ascii="Calibri" w:hAnsi="Calibri"/>
                <w:color w:val="000000"/>
                <w:sz w:val="24"/>
              </w:rPr>
            </w:pPr>
            <w:r w:rsidRPr="006D5476">
              <w:rPr>
                <w:rFonts w:ascii="Calibri" w:hAnsi="Calibri"/>
                <w:color w:val="000000"/>
                <w:sz w:val="24"/>
              </w:rPr>
              <w:t xml:space="preserve">N 82.3 (Pořádání konferencí a hospodářských výstav), </w:t>
            </w:r>
          </w:p>
          <w:p w14:paraId="1FD0A260" w14:textId="77777777" w:rsidR="006D5476" w:rsidRDefault="006D5476" w:rsidP="006D5476">
            <w:pPr>
              <w:pStyle w:val="Odstavecseseznamem"/>
              <w:numPr>
                <w:ilvl w:val="0"/>
                <w:numId w:val="12"/>
              </w:numPr>
              <w:ind w:left="363" w:hanging="284"/>
              <w:rPr>
                <w:rFonts w:ascii="Calibri" w:hAnsi="Calibri"/>
                <w:color w:val="000000"/>
                <w:sz w:val="24"/>
              </w:rPr>
            </w:pPr>
            <w:r w:rsidRPr="006D5476">
              <w:rPr>
                <w:rFonts w:ascii="Calibri" w:hAnsi="Calibri"/>
                <w:color w:val="000000"/>
                <w:sz w:val="24"/>
              </w:rPr>
              <w:t xml:space="preserve">N 82.92 (Balicí činnosti), </w:t>
            </w:r>
          </w:p>
          <w:p w14:paraId="21F1FA52" w14:textId="77777777" w:rsidR="006D5476" w:rsidRDefault="006D5476" w:rsidP="006D5476">
            <w:pPr>
              <w:pStyle w:val="Odstavecseseznamem"/>
              <w:numPr>
                <w:ilvl w:val="0"/>
                <w:numId w:val="12"/>
              </w:numPr>
              <w:ind w:left="363" w:hanging="284"/>
              <w:rPr>
                <w:rFonts w:ascii="Calibri" w:hAnsi="Calibri"/>
                <w:color w:val="000000"/>
                <w:sz w:val="24"/>
              </w:rPr>
            </w:pPr>
            <w:r w:rsidRPr="006D5476">
              <w:rPr>
                <w:rFonts w:ascii="Calibri" w:hAnsi="Calibri"/>
                <w:color w:val="000000"/>
                <w:sz w:val="24"/>
              </w:rPr>
              <w:t xml:space="preserve">P 85.59 (Ostatní vzdělávání j. n.), </w:t>
            </w:r>
          </w:p>
          <w:p w14:paraId="5B1CCD2A" w14:textId="77777777" w:rsidR="006D5476" w:rsidRDefault="006D5476" w:rsidP="006D5476">
            <w:pPr>
              <w:pStyle w:val="Odstavecseseznamem"/>
              <w:numPr>
                <w:ilvl w:val="0"/>
                <w:numId w:val="12"/>
              </w:numPr>
              <w:ind w:left="363" w:hanging="284"/>
              <w:rPr>
                <w:rFonts w:ascii="Calibri" w:hAnsi="Calibri"/>
                <w:color w:val="000000"/>
                <w:sz w:val="24"/>
              </w:rPr>
            </w:pPr>
            <w:r w:rsidRPr="006D5476">
              <w:rPr>
                <w:rFonts w:ascii="Calibri" w:hAnsi="Calibri"/>
                <w:color w:val="000000"/>
                <w:sz w:val="24"/>
              </w:rPr>
              <w:t xml:space="preserve">R 93 (Sportovní, zábavní a rekreační činnosti), </w:t>
            </w:r>
          </w:p>
          <w:p w14:paraId="7AF7B8FE" w14:textId="77777777" w:rsidR="006D5476" w:rsidRDefault="006D5476" w:rsidP="006D5476">
            <w:pPr>
              <w:pStyle w:val="Odstavecseseznamem"/>
              <w:numPr>
                <w:ilvl w:val="0"/>
                <w:numId w:val="12"/>
              </w:numPr>
              <w:ind w:left="363" w:hanging="284"/>
              <w:rPr>
                <w:rFonts w:ascii="Calibri" w:hAnsi="Calibri"/>
                <w:color w:val="000000"/>
                <w:sz w:val="24"/>
              </w:rPr>
            </w:pPr>
            <w:r w:rsidRPr="006D5476">
              <w:rPr>
                <w:rFonts w:ascii="Calibri" w:hAnsi="Calibri"/>
                <w:color w:val="000000"/>
                <w:sz w:val="24"/>
              </w:rPr>
              <w:t xml:space="preserve">S 95 (Opravy počítačů a výrobků pro osobní potřebu a převážně pro domácnost) a </w:t>
            </w:r>
          </w:p>
          <w:p w14:paraId="3BE3CF72" w14:textId="7A7D469F" w:rsidR="00DE5965" w:rsidRPr="00DE5965" w:rsidRDefault="006D5476" w:rsidP="00DE5965">
            <w:pPr>
              <w:pStyle w:val="Odstavecseseznamem"/>
              <w:numPr>
                <w:ilvl w:val="0"/>
                <w:numId w:val="12"/>
              </w:numPr>
              <w:ind w:left="363" w:hanging="284"/>
              <w:rPr>
                <w:rFonts w:ascii="Calibri" w:hAnsi="Calibri"/>
                <w:color w:val="000000"/>
                <w:sz w:val="24"/>
              </w:rPr>
            </w:pPr>
            <w:r w:rsidRPr="006D5476">
              <w:rPr>
                <w:rFonts w:ascii="Calibri" w:hAnsi="Calibri"/>
                <w:color w:val="000000"/>
                <w:sz w:val="24"/>
              </w:rPr>
              <w:t>S 96 (Poskyto</w:t>
            </w:r>
            <w:r w:rsidR="00DE5965">
              <w:rPr>
                <w:rFonts w:ascii="Calibri" w:hAnsi="Calibri"/>
                <w:color w:val="000000"/>
                <w:sz w:val="24"/>
              </w:rPr>
              <w:t>vání ostatních osobních služeb).</w:t>
            </w:r>
          </w:p>
          <w:p w14:paraId="485DA253" w14:textId="3F1E229C" w:rsidR="006D5476" w:rsidRPr="00F520A9" w:rsidRDefault="006D5476" w:rsidP="00F520A9">
            <w:pPr>
              <w:ind w:left="79"/>
              <w:rPr>
                <w:rFonts w:ascii="Calibri" w:hAnsi="Calibri"/>
                <w:color w:val="000000"/>
                <w:sz w:val="24"/>
              </w:rPr>
            </w:pPr>
            <w:r w:rsidRPr="00F520A9">
              <w:rPr>
                <w:rFonts w:ascii="Calibri" w:hAnsi="Calibri"/>
                <w:color w:val="000000"/>
                <w:sz w:val="24"/>
              </w:rPr>
              <w:t>.</w:t>
            </w:r>
          </w:p>
          <w:p w14:paraId="4B2932C0" w14:textId="4E628BE8" w:rsidR="006D5476" w:rsidRDefault="00870F89" w:rsidP="006D5476">
            <w:pPr>
              <w:rPr>
                <w:rFonts w:ascii="Calibri" w:hAnsi="Calibri"/>
                <w:b/>
                <w:color w:val="000000"/>
                <w:sz w:val="24"/>
              </w:rPr>
            </w:pPr>
            <w:r>
              <w:rPr>
                <w:rFonts w:ascii="Calibri" w:hAnsi="Calibri"/>
                <w:b/>
                <w:color w:val="000000"/>
                <w:sz w:val="24"/>
              </w:rPr>
              <w:t xml:space="preserve">Způsobilé </w:t>
            </w:r>
            <w:r w:rsidR="006D5476">
              <w:rPr>
                <w:rFonts w:ascii="Calibri" w:hAnsi="Calibri"/>
                <w:b/>
                <w:color w:val="000000"/>
                <w:sz w:val="24"/>
              </w:rPr>
              <w:t>výdaje:</w:t>
            </w:r>
          </w:p>
          <w:p w14:paraId="068CDF79" w14:textId="77777777" w:rsidR="006D5476" w:rsidRPr="006D5476" w:rsidRDefault="006D5476" w:rsidP="006D5476">
            <w:pPr>
              <w:pStyle w:val="Odstavecseseznamem"/>
              <w:numPr>
                <w:ilvl w:val="0"/>
                <w:numId w:val="14"/>
              </w:numPr>
              <w:ind w:left="363" w:hanging="284"/>
              <w:rPr>
                <w:rFonts w:ascii="Calibri" w:hAnsi="Calibri"/>
                <w:color w:val="000000"/>
                <w:sz w:val="24"/>
              </w:rPr>
            </w:pPr>
            <w:r w:rsidRPr="006D5476">
              <w:rPr>
                <w:rFonts w:ascii="Calibri" w:hAnsi="Calibri"/>
                <w:color w:val="000000"/>
                <w:sz w:val="24"/>
              </w:rPr>
              <w:t xml:space="preserve">stavební obnova (přestavba, modernizace, statické zabezpečení) či nová výstavba provozovny, kanceláře (včetně nezbytného zázemí pro zaměstnance) či malokapacitního ubytovacího zařízení </w:t>
            </w:r>
            <w:r w:rsidRPr="006D5476">
              <w:rPr>
                <w:rFonts w:ascii="Calibri" w:hAnsi="Calibri"/>
                <w:color w:val="000000"/>
                <w:sz w:val="24"/>
              </w:rPr>
              <w:lastRenderedPageBreak/>
              <w:t>(včetně stravování a dalších budov a ploch v rámci turistické infrastruktury, sportoviště a příslušné zázemí)</w:t>
            </w:r>
          </w:p>
          <w:p w14:paraId="6565D1C3" w14:textId="77777777" w:rsidR="006D5476" w:rsidRPr="006D5476" w:rsidRDefault="006D5476" w:rsidP="006D5476">
            <w:pPr>
              <w:pStyle w:val="Odstavecseseznamem"/>
              <w:numPr>
                <w:ilvl w:val="0"/>
                <w:numId w:val="14"/>
              </w:numPr>
              <w:ind w:left="363" w:hanging="284"/>
              <w:rPr>
                <w:rFonts w:ascii="Calibri" w:hAnsi="Calibri"/>
                <w:color w:val="000000"/>
                <w:sz w:val="24"/>
              </w:rPr>
            </w:pPr>
            <w:r w:rsidRPr="006D5476">
              <w:rPr>
                <w:rFonts w:ascii="Calibri" w:hAnsi="Calibri"/>
                <w:color w:val="000000"/>
                <w:sz w:val="24"/>
              </w:rPr>
              <w:t>pořízení strojů, technologií a dalšího vybavení sloužícího pro nezemědělskou činnost (nákup zařízení, užitkových vozů kategorie N1, vybavení, hardware, software) v souvislosti s projektem (včetně montáže a zkoušky před uvedením pořizovaného majetku do stavu způsobilého k užívání)</w:t>
            </w:r>
          </w:p>
          <w:p w14:paraId="0E2D1782" w14:textId="739F2235" w:rsidR="006D5476" w:rsidRPr="006D5476" w:rsidRDefault="006D5476" w:rsidP="006D5476">
            <w:pPr>
              <w:pStyle w:val="Odstavecseseznamem"/>
              <w:numPr>
                <w:ilvl w:val="0"/>
                <w:numId w:val="14"/>
              </w:numPr>
              <w:ind w:left="363" w:hanging="284"/>
              <w:rPr>
                <w:rFonts w:ascii="Calibri" w:hAnsi="Calibri"/>
                <w:color w:val="000000"/>
                <w:sz w:val="24"/>
              </w:rPr>
            </w:pPr>
            <w:r w:rsidRPr="006D5476">
              <w:rPr>
                <w:rFonts w:ascii="Calibri" w:hAnsi="Calibri"/>
                <w:color w:val="000000"/>
                <w:sz w:val="24"/>
              </w:rPr>
              <w:t xml:space="preserve">doplňující výdaje jako součást projektu (úprava povrchů, náklady na výstavbu odstavných a parkovacích stání, oplocení, </w:t>
            </w:r>
            <w:r w:rsidR="00220443">
              <w:rPr>
                <w:rFonts w:ascii="Calibri" w:hAnsi="Calibri"/>
                <w:color w:val="000000"/>
                <w:sz w:val="24"/>
              </w:rPr>
              <w:t>nákup a výsadba doprovodné zeleně)</w:t>
            </w:r>
            <w:r w:rsidR="00864733">
              <w:rPr>
                <w:rFonts w:ascii="Calibri" w:hAnsi="Calibri"/>
                <w:color w:val="000000"/>
                <w:sz w:val="24"/>
              </w:rPr>
              <w:t xml:space="preserve"> – </w:t>
            </w:r>
            <w:r w:rsidR="00F520A9">
              <w:rPr>
                <w:rFonts w:ascii="Calibri" w:hAnsi="Calibri"/>
                <w:color w:val="000000"/>
                <w:sz w:val="24"/>
              </w:rPr>
              <w:t xml:space="preserve">tvoří </w:t>
            </w:r>
            <w:r w:rsidR="00864733">
              <w:rPr>
                <w:rFonts w:ascii="Calibri" w:hAnsi="Calibri"/>
                <w:color w:val="000000"/>
                <w:sz w:val="24"/>
              </w:rPr>
              <w:t>maximálně 30% projektu</w:t>
            </w:r>
          </w:p>
          <w:p w14:paraId="72EB9EC1" w14:textId="77777777" w:rsidR="006D5476" w:rsidRPr="006D5476" w:rsidRDefault="006D5476" w:rsidP="006D5476">
            <w:pPr>
              <w:pStyle w:val="Odstavecseseznamem"/>
              <w:numPr>
                <w:ilvl w:val="0"/>
                <w:numId w:val="14"/>
              </w:numPr>
              <w:ind w:left="363" w:hanging="284"/>
              <w:rPr>
                <w:rFonts w:ascii="Calibri" w:hAnsi="Calibri"/>
                <w:b/>
                <w:color w:val="000000"/>
                <w:sz w:val="24"/>
              </w:rPr>
            </w:pPr>
            <w:r w:rsidRPr="006D5476">
              <w:rPr>
                <w:rFonts w:ascii="Calibri" w:hAnsi="Calibri"/>
                <w:color w:val="000000"/>
                <w:sz w:val="24"/>
              </w:rPr>
              <w:t>nákup nemovitosti</w:t>
            </w:r>
          </w:p>
        </w:tc>
      </w:tr>
      <w:tr w:rsidR="006D5476" w:rsidRPr="005B3093" w14:paraId="5C59F73A" w14:textId="77777777" w:rsidTr="0039471E">
        <w:trPr>
          <w:trHeight w:val="1200"/>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4203CA8E" w14:textId="77777777" w:rsidR="006D5476" w:rsidRPr="006D5476" w:rsidRDefault="006D5476" w:rsidP="006D5476">
            <w:pPr>
              <w:jc w:val="center"/>
              <w:rPr>
                <w:rFonts w:ascii="Calibri" w:hAnsi="Calibri"/>
                <w:b/>
                <w:bCs/>
                <w:color w:val="000000"/>
                <w:sz w:val="24"/>
                <w:szCs w:val="32"/>
              </w:rPr>
            </w:pPr>
            <w:r w:rsidRPr="006D5476">
              <w:rPr>
                <w:rFonts w:ascii="Calibri" w:hAnsi="Calibri"/>
                <w:b/>
                <w:bCs/>
                <w:color w:val="000000"/>
                <w:sz w:val="24"/>
                <w:szCs w:val="32"/>
              </w:rPr>
              <w:lastRenderedPageBreak/>
              <w:t>Definice příjemce dotace</w:t>
            </w:r>
          </w:p>
        </w:tc>
        <w:tc>
          <w:tcPr>
            <w:tcW w:w="6945" w:type="dxa"/>
            <w:tcBorders>
              <w:top w:val="nil"/>
              <w:left w:val="nil"/>
              <w:bottom w:val="single" w:sz="4" w:space="0" w:color="000000"/>
              <w:right w:val="single" w:sz="8" w:space="0" w:color="000000"/>
            </w:tcBorders>
            <w:shd w:val="clear" w:color="auto" w:fill="auto"/>
            <w:hideMark/>
          </w:tcPr>
          <w:p w14:paraId="267E74F7" w14:textId="33AE4A85" w:rsidR="006D5476" w:rsidRPr="006D5476" w:rsidRDefault="006D5476" w:rsidP="00D674AA">
            <w:pPr>
              <w:rPr>
                <w:rFonts w:ascii="Calibri" w:hAnsi="Calibri"/>
                <w:color w:val="000000"/>
                <w:sz w:val="24"/>
              </w:rPr>
            </w:pPr>
            <w:r w:rsidRPr="006D5476">
              <w:rPr>
                <w:rFonts w:ascii="Calibri" w:hAnsi="Calibri"/>
                <w:color w:val="000000"/>
                <w:sz w:val="24"/>
              </w:rPr>
              <w:t xml:space="preserve">Podnikatelské subjekty (FO a PO) - </w:t>
            </w:r>
            <w:proofErr w:type="spellStart"/>
            <w:r w:rsidRPr="006D5476">
              <w:rPr>
                <w:rFonts w:ascii="Calibri" w:hAnsi="Calibri"/>
                <w:color w:val="000000"/>
                <w:sz w:val="24"/>
              </w:rPr>
              <w:t>mikropodniky</w:t>
            </w:r>
            <w:proofErr w:type="spellEnd"/>
            <w:r w:rsidRPr="006D5476">
              <w:rPr>
                <w:rFonts w:ascii="Calibri" w:hAnsi="Calibri"/>
                <w:color w:val="000000"/>
                <w:sz w:val="24"/>
              </w:rPr>
              <w:t xml:space="preserve"> a malé podniky ve venkovských oblastech, </w:t>
            </w:r>
            <w:r w:rsidR="00D674AA">
              <w:rPr>
                <w:rFonts w:ascii="Calibri" w:hAnsi="Calibri"/>
                <w:color w:val="000000"/>
                <w:sz w:val="24"/>
              </w:rPr>
              <w:t>jakož i zemědělci</w:t>
            </w:r>
            <w:r w:rsidR="001C3DA5">
              <w:rPr>
                <w:rFonts w:ascii="Calibri" w:hAnsi="Calibri"/>
                <w:color w:val="000000"/>
                <w:sz w:val="24"/>
              </w:rPr>
              <w:t>.</w:t>
            </w:r>
          </w:p>
        </w:tc>
      </w:tr>
      <w:tr w:rsidR="006D5476" w:rsidRPr="005B3093" w14:paraId="5CDF533E" w14:textId="77777777" w:rsidTr="0039471E">
        <w:trPr>
          <w:trHeight w:val="1200"/>
        </w:trPr>
        <w:tc>
          <w:tcPr>
            <w:tcW w:w="3251" w:type="dxa"/>
            <w:tcBorders>
              <w:top w:val="nil"/>
              <w:left w:val="single" w:sz="8" w:space="0" w:color="000000"/>
              <w:bottom w:val="single" w:sz="4" w:space="0" w:color="000000"/>
              <w:right w:val="single" w:sz="4" w:space="0" w:color="000000"/>
            </w:tcBorders>
            <w:shd w:val="clear" w:color="000000" w:fill="DDEBF7"/>
            <w:vAlign w:val="center"/>
          </w:tcPr>
          <w:p w14:paraId="026E6190" w14:textId="77777777" w:rsidR="006D5476" w:rsidRPr="006D5476" w:rsidRDefault="006D5476" w:rsidP="006D5476">
            <w:pPr>
              <w:jc w:val="center"/>
              <w:rPr>
                <w:rFonts w:ascii="Calibri" w:hAnsi="Calibri"/>
                <w:b/>
                <w:bCs/>
                <w:color w:val="000000"/>
                <w:sz w:val="24"/>
                <w:szCs w:val="32"/>
              </w:rPr>
            </w:pPr>
            <w:r>
              <w:rPr>
                <w:rFonts w:ascii="Calibri" w:hAnsi="Calibri"/>
                <w:b/>
                <w:bCs/>
                <w:color w:val="000000"/>
                <w:sz w:val="24"/>
                <w:szCs w:val="32"/>
              </w:rPr>
              <w:t>Dotace</w:t>
            </w:r>
          </w:p>
        </w:tc>
        <w:tc>
          <w:tcPr>
            <w:tcW w:w="6945" w:type="dxa"/>
            <w:tcBorders>
              <w:top w:val="nil"/>
              <w:left w:val="nil"/>
              <w:bottom w:val="single" w:sz="4" w:space="0" w:color="000000"/>
              <w:right w:val="single" w:sz="8" w:space="0" w:color="000000"/>
            </w:tcBorders>
            <w:shd w:val="clear" w:color="auto" w:fill="auto"/>
          </w:tcPr>
          <w:p w14:paraId="5FA17D98" w14:textId="77777777" w:rsidR="006D5476" w:rsidRPr="006D5476" w:rsidRDefault="006D5476" w:rsidP="006D5476">
            <w:pPr>
              <w:rPr>
                <w:rFonts w:ascii="Calibri" w:hAnsi="Calibri"/>
                <w:color w:val="000000"/>
                <w:sz w:val="24"/>
              </w:rPr>
            </w:pPr>
            <w:r w:rsidRPr="006D5476">
              <w:rPr>
                <w:rFonts w:ascii="Calibri" w:hAnsi="Calibri"/>
                <w:color w:val="000000"/>
                <w:sz w:val="24"/>
              </w:rPr>
              <w:t>Podpora (pro oba režimy podpory) je poskytována jako příspěvek na vynaložené způsobilé výdaje, a to ve výši:</w:t>
            </w:r>
          </w:p>
          <w:p w14:paraId="515C1779" w14:textId="77777777" w:rsidR="006D5476" w:rsidRPr="006D5476" w:rsidRDefault="006D5476" w:rsidP="006D5476">
            <w:pPr>
              <w:pStyle w:val="Odstavecseseznamem"/>
              <w:numPr>
                <w:ilvl w:val="0"/>
                <w:numId w:val="10"/>
              </w:numPr>
              <w:rPr>
                <w:rFonts w:ascii="Calibri" w:hAnsi="Calibri"/>
                <w:color w:val="000000"/>
                <w:sz w:val="24"/>
              </w:rPr>
            </w:pPr>
            <w:r w:rsidRPr="006D5476">
              <w:rPr>
                <w:rFonts w:ascii="Calibri" w:hAnsi="Calibri"/>
                <w:color w:val="000000"/>
                <w:sz w:val="24"/>
              </w:rPr>
              <w:t>25 % způsobilých výdajů pro velké podniky</w:t>
            </w:r>
          </w:p>
          <w:p w14:paraId="54FD52F9" w14:textId="77777777" w:rsidR="006D5476" w:rsidRPr="006D5476" w:rsidRDefault="006D5476" w:rsidP="006D5476">
            <w:pPr>
              <w:pStyle w:val="Odstavecseseznamem"/>
              <w:numPr>
                <w:ilvl w:val="0"/>
                <w:numId w:val="10"/>
              </w:numPr>
              <w:rPr>
                <w:rFonts w:ascii="Calibri" w:hAnsi="Calibri"/>
                <w:color w:val="000000"/>
                <w:sz w:val="24"/>
              </w:rPr>
            </w:pPr>
            <w:r w:rsidRPr="006D5476">
              <w:rPr>
                <w:rFonts w:ascii="Calibri" w:hAnsi="Calibri"/>
                <w:color w:val="000000"/>
                <w:sz w:val="24"/>
              </w:rPr>
              <w:t>35 % způsobilých výdajů pro střední podniky</w:t>
            </w:r>
          </w:p>
          <w:p w14:paraId="15650861" w14:textId="77777777" w:rsidR="006D5476" w:rsidRPr="006D5476" w:rsidRDefault="006D5476" w:rsidP="006D5476">
            <w:pPr>
              <w:pStyle w:val="Odstavecseseznamem"/>
              <w:numPr>
                <w:ilvl w:val="0"/>
                <w:numId w:val="10"/>
              </w:numPr>
              <w:rPr>
                <w:rFonts w:ascii="Calibri" w:hAnsi="Calibri"/>
                <w:color w:val="000000"/>
                <w:sz w:val="24"/>
              </w:rPr>
            </w:pPr>
            <w:r w:rsidRPr="006D5476">
              <w:rPr>
                <w:rFonts w:ascii="Calibri" w:hAnsi="Calibri"/>
                <w:color w:val="000000"/>
                <w:sz w:val="24"/>
              </w:rPr>
              <w:t>45 % způsobilých výdajů pro malé podniky</w:t>
            </w:r>
          </w:p>
          <w:p w14:paraId="5FFF369F" w14:textId="696605D7" w:rsidR="006D5476" w:rsidRPr="006D5476" w:rsidRDefault="006D5476" w:rsidP="001C3DA5">
            <w:pPr>
              <w:rPr>
                <w:rFonts w:ascii="Calibri" w:hAnsi="Calibri"/>
                <w:color w:val="000000"/>
                <w:sz w:val="24"/>
              </w:rPr>
            </w:pPr>
            <w:r w:rsidRPr="006D5476">
              <w:rPr>
                <w:rFonts w:ascii="Calibri" w:hAnsi="Calibri"/>
                <w:color w:val="000000"/>
                <w:sz w:val="24"/>
              </w:rPr>
              <w:t>Velikost p</w:t>
            </w:r>
            <w:r w:rsidR="001C3DA5">
              <w:rPr>
                <w:rFonts w:ascii="Calibri" w:hAnsi="Calibri"/>
                <w:color w:val="000000"/>
                <w:sz w:val="24"/>
              </w:rPr>
              <w:t>odniku se určuje dle Přílohy I N</w:t>
            </w:r>
            <w:r w:rsidRPr="006D5476">
              <w:rPr>
                <w:rFonts w:ascii="Calibri" w:hAnsi="Calibri"/>
                <w:color w:val="000000"/>
                <w:sz w:val="24"/>
              </w:rPr>
              <w:t xml:space="preserve">ařízení č. 651/2014 </w:t>
            </w:r>
            <w:r w:rsidR="001C3DA5">
              <w:rPr>
                <w:rFonts w:ascii="Calibri" w:hAnsi="Calibri"/>
                <w:color w:val="000000"/>
                <w:sz w:val="24"/>
              </w:rPr>
              <w:t>– viz příloha 4 Pravidel.</w:t>
            </w:r>
            <w:r w:rsidRPr="006D5476">
              <w:rPr>
                <w:rFonts w:ascii="Calibri" w:hAnsi="Calibri"/>
                <w:color w:val="000000"/>
                <w:sz w:val="24"/>
              </w:rPr>
              <w:t xml:space="preserve"> </w:t>
            </w:r>
          </w:p>
        </w:tc>
      </w:tr>
      <w:tr w:rsidR="006D5476" w:rsidRPr="005B3093" w14:paraId="1E64AD03" w14:textId="77777777" w:rsidTr="0039471E">
        <w:trPr>
          <w:trHeight w:val="1200"/>
        </w:trPr>
        <w:tc>
          <w:tcPr>
            <w:tcW w:w="3251" w:type="dxa"/>
            <w:tcBorders>
              <w:top w:val="nil"/>
              <w:left w:val="single" w:sz="8" w:space="0" w:color="000000"/>
              <w:bottom w:val="single" w:sz="4" w:space="0" w:color="auto"/>
              <w:right w:val="single" w:sz="4" w:space="0" w:color="000000"/>
            </w:tcBorders>
            <w:shd w:val="clear" w:color="000000" w:fill="DDEBF7"/>
            <w:vAlign w:val="center"/>
          </w:tcPr>
          <w:p w14:paraId="7E89576C" w14:textId="77777777" w:rsidR="006D5476" w:rsidRDefault="006D5476" w:rsidP="006D5476">
            <w:pPr>
              <w:jc w:val="center"/>
              <w:rPr>
                <w:rFonts w:ascii="Calibri" w:hAnsi="Calibri"/>
                <w:b/>
                <w:bCs/>
                <w:color w:val="000000"/>
                <w:sz w:val="24"/>
                <w:szCs w:val="32"/>
              </w:rPr>
            </w:pPr>
            <w:r>
              <w:rPr>
                <w:rFonts w:ascii="Calibri" w:hAnsi="Calibri"/>
                <w:b/>
                <w:bCs/>
                <w:color w:val="000000"/>
                <w:sz w:val="24"/>
                <w:szCs w:val="32"/>
              </w:rPr>
              <w:t>Režimy podpory</w:t>
            </w:r>
          </w:p>
        </w:tc>
        <w:tc>
          <w:tcPr>
            <w:tcW w:w="6945" w:type="dxa"/>
            <w:tcBorders>
              <w:top w:val="nil"/>
              <w:left w:val="nil"/>
              <w:bottom w:val="single" w:sz="4" w:space="0" w:color="auto"/>
              <w:right w:val="single" w:sz="8" w:space="0" w:color="000000"/>
            </w:tcBorders>
            <w:shd w:val="clear" w:color="auto" w:fill="auto"/>
          </w:tcPr>
          <w:p w14:paraId="7600999E" w14:textId="2461D188" w:rsidR="001C3DA5" w:rsidRPr="001C3DA5" w:rsidRDefault="00816E32" w:rsidP="00816E32">
            <w:pPr>
              <w:pStyle w:val="p1"/>
            </w:pPr>
            <w:r>
              <w:rPr>
                <w:rFonts w:ascii="Calibri" w:hAnsi="Calibri"/>
                <w:b/>
                <w:color w:val="000000"/>
                <w:sz w:val="24"/>
              </w:rPr>
              <w:t>R</w:t>
            </w:r>
            <w:r w:rsidR="006D5476" w:rsidRPr="006D5476">
              <w:rPr>
                <w:rFonts w:ascii="Calibri" w:hAnsi="Calibri"/>
                <w:b/>
                <w:color w:val="000000"/>
                <w:sz w:val="24"/>
              </w:rPr>
              <w:t>ežim blokové výjimky</w:t>
            </w:r>
            <w:r w:rsidR="006D5476" w:rsidRPr="006D5476">
              <w:rPr>
                <w:rFonts w:ascii="Calibri" w:hAnsi="Calibri"/>
                <w:color w:val="000000"/>
                <w:sz w:val="24"/>
              </w:rPr>
              <w:t xml:space="preserve"> – </w:t>
            </w:r>
            <w:r w:rsidR="001C3DA5" w:rsidRPr="001C3DA5">
              <w:rPr>
                <w:rFonts w:ascii="Calibri" w:hAnsi="Calibri"/>
                <w:sz w:val="24"/>
                <w:szCs w:val="24"/>
              </w:rPr>
              <w:t xml:space="preserve">projekty musí být v souladu s čl. 14 </w:t>
            </w:r>
            <w:r>
              <w:rPr>
                <w:rFonts w:ascii="Calibri" w:hAnsi="Calibri"/>
                <w:sz w:val="24"/>
                <w:szCs w:val="24"/>
              </w:rPr>
              <w:t xml:space="preserve">      </w:t>
            </w:r>
            <w:r w:rsidR="001C3DA5" w:rsidRPr="001C3DA5">
              <w:rPr>
                <w:rFonts w:ascii="Calibri" w:hAnsi="Calibri"/>
                <w:sz w:val="24"/>
                <w:szCs w:val="24"/>
              </w:rPr>
              <w:t>Nařízení Komise č. 651/2014.</w:t>
            </w:r>
          </w:p>
          <w:p w14:paraId="75EBCBA2" w14:textId="09FAFDA0" w:rsidR="006D5476" w:rsidRPr="006D5476" w:rsidRDefault="006D5476" w:rsidP="00816E32">
            <w:pPr>
              <w:pStyle w:val="Odstavecseseznamem"/>
              <w:ind w:left="363"/>
              <w:rPr>
                <w:rFonts w:ascii="Calibri" w:hAnsi="Calibri"/>
                <w:color w:val="000000"/>
                <w:sz w:val="24"/>
              </w:rPr>
            </w:pPr>
          </w:p>
          <w:p w14:paraId="71EFFA5D" w14:textId="480D9FE9" w:rsidR="006D5476" w:rsidRPr="00816E32" w:rsidRDefault="006D5476" w:rsidP="00816E32">
            <w:pPr>
              <w:rPr>
                <w:rFonts w:ascii="Calibri" w:hAnsi="Calibri"/>
                <w:color w:val="000000"/>
                <w:sz w:val="24"/>
              </w:rPr>
            </w:pPr>
            <w:r w:rsidRPr="00816E32">
              <w:rPr>
                <w:rFonts w:ascii="Calibri" w:hAnsi="Calibri"/>
                <w:b/>
                <w:color w:val="000000"/>
                <w:sz w:val="24"/>
              </w:rPr>
              <w:t xml:space="preserve">Režim de </w:t>
            </w:r>
            <w:proofErr w:type="spellStart"/>
            <w:r w:rsidRPr="00816E32">
              <w:rPr>
                <w:rFonts w:ascii="Calibri" w:hAnsi="Calibri"/>
                <w:b/>
                <w:color w:val="000000"/>
                <w:sz w:val="24"/>
              </w:rPr>
              <w:t>minimis</w:t>
            </w:r>
            <w:proofErr w:type="spellEnd"/>
            <w:r w:rsidRPr="00816E32">
              <w:rPr>
                <w:rFonts w:ascii="Calibri" w:hAnsi="Calibri"/>
                <w:color w:val="000000"/>
                <w:sz w:val="24"/>
              </w:rPr>
              <w:t xml:space="preserve"> – projekty musí být v souladu s </w:t>
            </w:r>
            <w:r w:rsidR="00816E32">
              <w:rPr>
                <w:rFonts w:ascii="Calibri" w:hAnsi="Calibri"/>
                <w:color w:val="000000"/>
                <w:sz w:val="24"/>
              </w:rPr>
              <w:t>N</w:t>
            </w:r>
            <w:r w:rsidRPr="00816E32">
              <w:rPr>
                <w:rFonts w:ascii="Calibri" w:hAnsi="Calibri"/>
                <w:color w:val="000000"/>
                <w:sz w:val="24"/>
              </w:rPr>
              <w:t xml:space="preserve">ařízením Komise (EU) č. 1407/2013 ze dne 18. prosince 2013 o použití článků 107 a 108 Smlouvy o fungování Evropské unie na podporu de </w:t>
            </w:r>
            <w:proofErr w:type="spellStart"/>
            <w:r w:rsidRPr="00816E32">
              <w:rPr>
                <w:rFonts w:ascii="Calibri" w:hAnsi="Calibri"/>
                <w:color w:val="000000"/>
                <w:sz w:val="24"/>
              </w:rPr>
              <w:t>minimis</w:t>
            </w:r>
            <w:proofErr w:type="spellEnd"/>
            <w:r w:rsidRPr="00816E32">
              <w:rPr>
                <w:rFonts w:ascii="Calibri" w:hAnsi="Calibri"/>
                <w:color w:val="000000"/>
                <w:sz w:val="24"/>
              </w:rPr>
              <w:t>.</w:t>
            </w:r>
          </w:p>
        </w:tc>
      </w:tr>
      <w:tr w:rsidR="006D5476" w:rsidRPr="005B3093" w14:paraId="38085EA9" w14:textId="77777777" w:rsidTr="0039471E">
        <w:trPr>
          <w:trHeight w:val="1200"/>
        </w:trPr>
        <w:tc>
          <w:tcPr>
            <w:tcW w:w="3251" w:type="dxa"/>
            <w:tcBorders>
              <w:top w:val="single" w:sz="4" w:space="0" w:color="auto"/>
              <w:left w:val="single" w:sz="4" w:space="0" w:color="auto"/>
              <w:bottom w:val="single" w:sz="4" w:space="0" w:color="auto"/>
              <w:right w:val="single" w:sz="4" w:space="0" w:color="auto"/>
            </w:tcBorders>
            <w:shd w:val="clear" w:color="000000" w:fill="DDEBF7"/>
            <w:vAlign w:val="center"/>
          </w:tcPr>
          <w:p w14:paraId="174DFCDF" w14:textId="77777777" w:rsidR="006D5476" w:rsidRPr="006D5476" w:rsidRDefault="006D5476" w:rsidP="006D5476">
            <w:pPr>
              <w:jc w:val="center"/>
              <w:rPr>
                <w:rFonts w:ascii="Calibri" w:hAnsi="Calibri"/>
                <w:b/>
                <w:bCs/>
                <w:color w:val="000000"/>
                <w:sz w:val="24"/>
                <w:szCs w:val="32"/>
              </w:rPr>
            </w:pPr>
            <w:r w:rsidRPr="006D5476">
              <w:rPr>
                <w:rFonts w:ascii="Calibri" w:hAnsi="Calibri"/>
                <w:b/>
                <w:bCs/>
                <w:color w:val="000000"/>
                <w:sz w:val="24"/>
                <w:szCs w:val="32"/>
              </w:rPr>
              <w:t>Minimální výše způsobilých výdajů</w:t>
            </w: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25EAB401" w14:textId="77777777" w:rsidR="006D5476" w:rsidRPr="006D5476" w:rsidRDefault="006D5476" w:rsidP="006D5476">
            <w:pPr>
              <w:rPr>
                <w:rFonts w:ascii="Calibri" w:hAnsi="Calibri"/>
                <w:color w:val="000000"/>
                <w:sz w:val="24"/>
              </w:rPr>
            </w:pPr>
            <w:r w:rsidRPr="006D5476">
              <w:rPr>
                <w:rFonts w:ascii="Calibri" w:hAnsi="Calibri"/>
                <w:color w:val="000000"/>
                <w:sz w:val="24"/>
              </w:rPr>
              <w:t>50 tis. Kč na projekt</w:t>
            </w:r>
          </w:p>
        </w:tc>
      </w:tr>
      <w:tr w:rsidR="006D5476" w:rsidRPr="005B3093" w14:paraId="0F6CA19D" w14:textId="77777777" w:rsidTr="002127AD">
        <w:trPr>
          <w:trHeight w:val="852"/>
        </w:trPr>
        <w:tc>
          <w:tcPr>
            <w:tcW w:w="3251" w:type="dxa"/>
            <w:tcBorders>
              <w:top w:val="single" w:sz="4" w:space="0" w:color="auto"/>
              <w:left w:val="single" w:sz="8" w:space="0" w:color="000000"/>
              <w:bottom w:val="single" w:sz="4" w:space="0" w:color="000000"/>
              <w:right w:val="single" w:sz="4" w:space="0" w:color="000000"/>
            </w:tcBorders>
            <w:shd w:val="clear" w:color="000000" w:fill="DDEBF7"/>
            <w:vAlign w:val="center"/>
            <w:hideMark/>
          </w:tcPr>
          <w:p w14:paraId="34243A22" w14:textId="77777777" w:rsidR="006D5476" w:rsidRPr="006D5476" w:rsidRDefault="006D5476" w:rsidP="006D5476">
            <w:pPr>
              <w:jc w:val="center"/>
              <w:rPr>
                <w:rFonts w:ascii="Calibri" w:hAnsi="Calibri"/>
                <w:b/>
                <w:bCs/>
                <w:color w:val="000000"/>
                <w:sz w:val="24"/>
                <w:szCs w:val="32"/>
              </w:rPr>
            </w:pPr>
            <w:r w:rsidRPr="006D5476">
              <w:rPr>
                <w:rFonts w:ascii="Calibri" w:hAnsi="Calibri"/>
                <w:b/>
                <w:bCs/>
                <w:color w:val="000000"/>
                <w:sz w:val="24"/>
                <w:szCs w:val="32"/>
              </w:rPr>
              <w:t>Maximální výše způsobilých výdajů</w:t>
            </w:r>
          </w:p>
        </w:tc>
        <w:tc>
          <w:tcPr>
            <w:tcW w:w="6945" w:type="dxa"/>
            <w:tcBorders>
              <w:top w:val="single" w:sz="4" w:space="0" w:color="auto"/>
              <w:left w:val="nil"/>
              <w:bottom w:val="single" w:sz="4" w:space="0" w:color="000000"/>
              <w:right w:val="single" w:sz="8" w:space="0" w:color="000000"/>
            </w:tcBorders>
            <w:shd w:val="clear" w:color="auto" w:fill="auto"/>
            <w:noWrap/>
            <w:hideMark/>
          </w:tcPr>
          <w:p w14:paraId="6CD701CA" w14:textId="77777777" w:rsidR="006D5476" w:rsidRPr="006D5476" w:rsidRDefault="006D5476" w:rsidP="006D5476">
            <w:pPr>
              <w:rPr>
                <w:rFonts w:ascii="Calibri" w:hAnsi="Calibri"/>
                <w:color w:val="000000"/>
                <w:sz w:val="24"/>
              </w:rPr>
            </w:pPr>
            <w:r w:rsidRPr="006D5476">
              <w:rPr>
                <w:rFonts w:ascii="Calibri" w:hAnsi="Calibri"/>
                <w:color w:val="000000"/>
                <w:sz w:val="24"/>
              </w:rPr>
              <w:t>5 mil. Kč na projekt</w:t>
            </w:r>
          </w:p>
        </w:tc>
      </w:tr>
      <w:tr w:rsidR="006D5476" w:rsidRPr="005B3093" w14:paraId="5419433C" w14:textId="77777777" w:rsidTr="0039471E">
        <w:trPr>
          <w:trHeight w:val="420"/>
        </w:trPr>
        <w:tc>
          <w:tcPr>
            <w:tcW w:w="3251" w:type="dxa"/>
            <w:tcBorders>
              <w:top w:val="nil"/>
              <w:left w:val="single" w:sz="8" w:space="0" w:color="000000"/>
              <w:bottom w:val="single" w:sz="4" w:space="0" w:color="auto"/>
              <w:right w:val="single" w:sz="4" w:space="0" w:color="000000"/>
            </w:tcBorders>
            <w:shd w:val="clear" w:color="000000" w:fill="DDEBF7"/>
            <w:vAlign w:val="center"/>
            <w:hideMark/>
          </w:tcPr>
          <w:p w14:paraId="5580C7FE" w14:textId="77777777" w:rsidR="006D5476" w:rsidRPr="006D5476" w:rsidRDefault="006D5476" w:rsidP="006D5476">
            <w:pPr>
              <w:jc w:val="center"/>
              <w:rPr>
                <w:rFonts w:ascii="Calibri" w:hAnsi="Calibri"/>
                <w:b/>
                <w:bCs/>
                <w:color w:val="000000"/>
                <w:sz w:val="24"/>
                <w:szCs w:val="32"/>
              </w:rPr>
            </w:pPr>
            <w:r w:rsidRPr="006D5476">
              <w:rPr>
                <w:rFonts w:ascii="Calibri" w:hAnsi="Calibri"/>
                <w:b/>
                <w:bCs/>
                <w:color w:val="000000"/>
                <w:sz w:val="24"/>
                <w:szCs w:val="32"/>
              </w:rPr>
              <w:t xml:space="preserve">Preferenční </w:t>
            </w:r>
            <w:proofErr w:type="gramStart"/>
            <w:r w:rsidRPr="006D5476">
              <w:rPr>
                <w:rFonts w:ascii="Calibri" w:hAnsi="Calibri"/>
                <w:b/>
                <w:bCs/>
                <w:color w:val="000000"/>
                <w:sz w:val="24"/>
                <w:szCs w:val="32"/>
              </w:rPr>
              <w:t>kritéria - co</w:t>
            </w:r>
            <w:proofErr w:type="gramEnd"/>
            <w:r w:rsidRPr="006D5476">
              <w:rPr>
                <w:rFonts w:ascii="Calibri" w:hAnsi="Calibri"/>
                <w:b/>
                <w:bCs/>
                <w:color w:val="000000"/>
                <w:sz w:val="24"/>
                <w:szCs w:val="32"/>
              </w:rPr>
              <w:t xml:space="preserve"> bude na projektu hodnoceno? (nesplnění neznamená vyloučení projektu, jen nízké bodové ohodnocení)</w:t>
            </w:r>
          </w:p>
        </w:tc>
        <w:tc>
          <w:tcPr>
            <w:tcW w:w="6945" w:type="dxa"/>
            <w:tcBorders>
              <w:top w:val="nil"/>
              <w:left w:val="nil"/>
              <w:bottom w:val="single" w:sz="4" w:space="0" w:color="auto"/>
              <w:right w:val="single" w:sz="8" w:space="0" w:color="000000"/>
            </w:tcBorders>
            <w:shd w:val="clear" w:color="auto" w:fill="auto"/>
            <w:noWrap/>
            <w:hideMark/>
          </w:tcPr>
          <w:p w14:paraId="636483A8" w14:textId="77777777" w:rsidR="008633A2" w:rsidRPr="007549D2" w:rsidRDefault="008633A2" w:rsidP="007549D2">
            <w:pPr>
              <w:pStyle w:val="Odstavecseseznamem"/>
              <w:numPr>
                <w:ilvl w:val="0"/>
                <w:numId w:val="29"/>
              </w:numPr>
              <w:rPr>
                <w:rFonts w:ascii="Calibri" w:hAnsi="Calibri"/>
                <w:color w:val="000000"/>
                <w:sz w:val="24"/>
              </w:rPr>
            </w:pPr>
            <w:r w:rsidRPr="007549D2">
              <w:rPr>
                <w:rFonts w:ascii="Calibri" w:hAnsi="Calibri"/>
                <w:color w:val="000000"/>
                <w:sz w:val="24"/>
              </w:rPr>
              <w:t>V rámci projektu vznikne pracovní místo</w:t>
            </w:r>
          </w:p>
          <w:p w14:paraId="18AC83E0" w14:textId="77777777" w:rsidR="008633A2" w:rsidRPr="007549D2" w:rsidRDefault="008633A2" w:rsidP="007549D2">
            <w:pPr>
              <w:pStyle w:val="Odstavecseseznamem"/>
              <w:numPr>
                <w:ilvl w:val="0"/>
                <w:numId w:val="29"/>
              </w:numPr>
              <w:rPr>
                <w:rFonts w:ascii="Calibri" w:hAnsi="Calibri"/>
                <w:color w:val="000000"/>
                <w:sz w:val="24"/>
              </w:rPr>
            </w:pPr>
            <w:r w:rsidRPr="007549D2">
              <w:rPr>
                <w:rFonts w:ascii="Calibri" w:hAnsi="Calibri"/>
                <w:color w:val="000000"/>
                <w:sz w:val="24"/>
              </w:rPr>
              <w:t xml:space="preserve">Projekt využívá </w:t>
            </w:r>
            <w:proofErr w:type="spellStart"/>
            <w:r w:rsidRPr="007549D2">
              <w:rPr>
                <w:rFonts w:ascii="Calibri" w:hAnsi="Calibri"/>
                <w:color w:val="000000"/>
                <w:sz w:val="24"/>
              </w:rPr>
              <w:t>brownfields</w:t>
            </w:r>
            <w:proofErr w:type="spellEnd"/>
          </w:p>
          <w:p w14:paraId="134322D9" w14:textId="09034CEB" w:rsidR="00A62150" w:rsidRDefault="00A62150" w:rsidP="007549D2">
            <w:pPr>
              <w:pStyle w:val="Odstavecseseznamem"/>
              <w:numPr>
                <w:ilvl w:val="0"/>
                <w:numId w:val="29"/>
              </w:numPr>
              <w:rPr>
                <w:rFonts w:ascii="Calibri" w:hAnsi="Calibri"/>
                <w:color w:val="000000"/>
                <w:sz w:val="24"/>
              </w:rPr>
            </w:pPr>
            <w:r>
              <w:rPr>
                <w:rFonts w:ascii="Calibri" w:hAnsi="Calibri"/>
                <w:color w:val="000000"/>
                <w:sz w:val="24"/>
              </w:rPr>
              <w:t xml:space="preserve">Realizací projektu vznikne nový výrobek, produkt či služba. </w:t>
            </w:r>
          </w:p>
          <w:p w14:paraId="32FCE719" w14:textId="24ACC660" w:rsidR="006A223F" w:rsidRPr="007549D2" w:rsidRDefault="006A223F" w:rsidP="007549D2">
            <w:pPr>
              <w:pStyle w:val="Odstavecseseznamem"/>
              <w:numPr>
                <w:ilvl w:val="0"/>
                <w:numId w:val="29"/>
              </w:numPr>
              <w:rPr>
                <w:rFonts w:ascii="Calibri" w:hAnsi="Calibri"/>
                <w:color w:val="000000"/>
                <w:sz w:val="24"/>
              </w:rPr>
            </w:pPr>
            <w:r w:rsidRPr="007549D2">
              <w:rPr>
                <w:rFonts w:ascii="Calibri" w:hAnsi="Calibri"/>
                <w:color w:val="000000"/>
                <w:sz w:val="24"/>
              </w:rPr>
              <w:t>Projekt přispěje k rozvoji tradiční produkce či služby</w:t>
            </w:r>
          </w:p>
          <w:p w14:paraId="1B638606" w14:textId="0561FD5C" w:rsidR="006A223F" w:rsidRPr="007549D2" w:rsidRDefault="006A223F" w:rsidP="007549D2">
            <w:pPr>
              <w:pStyle w:val="Odstavecseseznamem"/>
              <w:numPr>
                <w:ilvl w:val="0"/>
                <w:numId w:val="29"/>
              </w:numPr>
              <w:rPr>
                <w:rFonts w:ascii="Calibri" w:hAnsi="Calibri"/>
                <w:color w:val="000000"/>
                <w:sz w:val="24"/>
              </w:rPr>
            </w:pPr>
            <w:r w:rsidRPr="007549D2">
              <w:rPr>
                <w:rFonts w:ascii="Calibri" w:hAnsi="Calibri"/>
                <w:color w:val="000000"/>
                <w:sz w:val="24"/>
              </w:rPr>
              <w:t xml:space="preserve">Žadatel doložil </w:t>
            </w:r>
            <w:r w:rsidR="00A62150">
              <w:rPr>
                <w:rFonts w:ascii="Calibri" w:hAnsi="Calibri"/>
                <w:color w:val="000000"/>
                <w:sz w:val="24"/>
              </w:rPr>
              <w:t xml:space="preserve">způsob </w:t>
            </w:r>
            <w:r w:rsidRPr="007549D2">
              <w:rPr>
                <w:rFonts w:ascii="Calibri" w:hAnsi="Calibri"/>
                <w:color w:val="000000"/>
                <w:sz w:val="24"/>
              </w:rPr>
              <w:t>předfinancování projektového záměru</w:t>
            </w:r>
          </w:p>
        </w:tc>
      </w:tr>
      <w:tr w:rsidR="006D5476" w:rsidRPr="005B3093" w14:paraId="67488CDF" w14:textId="77777777" w:rsidTr="0039471E">
        <w:trPr>
          <w:trHeight w:val="420"/>
        </w:trPr>
        <w:tc>
          <w:tcPr>
            <w:tcW w:w="3251" w:type="dxa"/>
            <w:tcBorders>
              <w:top w:val="single" w:sz="4" w:space="0" w:color="auto"/>
              <w:left w:val="single" w:sz="4" w:space="0" w:color="auto"/>
              <w:bottom w:val="single" w:sz="4" w:space="0" w:color="auto"/>
              <w:right w:val="single" w:sz="4" w:space="0" w:color="auto"/>
            </w:tcBorders>
            <w:shd w:val="clear" w:color="000000" w:fill="DDEBF7"/>
            <w:vAlign w:val="center"/>
          </w:tcPr>
          <w:p w14:paraId="68353155" w14:textId="73824307" w:rsidR="006D5476" w:rsidRDefault="006D5476" w:rsidP="006D5476">
            <w:pPr>
              <w:jc w:val="center"/>
              <w:rPr>
                <w:rFonts w:ascii="Calibri" w:eastAsia="Times New Roman" w:hAnsi="Calibri" w:cs="Calibri"/>
                <w:b/>
                <w:bCs/>
                <w:color w:val="000000"/>
                <w:sz w:val="24"/>
                <w:szCs w:val="32"/>
                <w:lang w:eastAsia="cs-CZ"/>
              </w:rPr>
            </w:pPr>
            <w:r>
              <w:rPr>
                <w:rFonts w:ascii="Calibri" w:eastAsia="Times New Roman" w:hAnsi="Calibri" w:cs="Calibri"/>
                <w:b/>
                <w:bCs/>
                <w:color w:val="000000"/>
                <w:sz w:val="24"/>
                <w:szCs w:val="32"/>
                <w:lang w:eastAsia="cs-CZ"/>
              </w:rPr>
              <w:lastRenderedPageBreak/>
              <w:t>Další podmínky</w:t>
            </w:r>
            <w:r w:rsidR="004879CC">
              <w:rPr>
                <w:rFonts w:ascii="Calibri" w:eastAsia="Times New Roman" w:hAnsi="Calibri" w:cs="Calibri"/>
                <w:b/>
                <w:bCs/>
                <w:color w:val="000000"/>
                <w:sz w:val="24"/>
                <w:szCs w:val="32"/>
                <w:lang w:eastAsia="cs-CZ"/>
              </w:rPr>
              <w:t xml:space="preserve"> všeobecné</w:t>
            </w:r>
          </w:p>
        </w:tc>
        <w:tc>
          <w:tcPr>
            <w:tcW w:w="6945" w:type="dxa"/>
            <w:tcBorders>
              <w:top w:val="single" w:sz="4" w:space="0" w:color="auto"/>
              <w:left w:val="single" w:sz="4" w:space="0" w:color="auto"/>
              <w:bottom w:val="single" w:sz="4" w:space="0" w:color="auto"/>
              <w:right w:val="single" w:sz="4" w:space="0" w:color="auto"/>
            </w:tcBorders>
            <w:shd w:val="clear" w:color="auto" w:fill="auto"/>
            <w:noWrap/>
          </w:tcPr>
          <w:p w14:paraId="5BB2703B" w14:textId="4796E470" w:rsidR="006D5476" w:rsidRPr="00D309C5" w:rsidRDefault="006D5476" w:rsidP="00D309C5">
            <w:pPr>
              <w:rPr>
                <w:rFonts w:ascii="Calibri" w:hAnsi="Calibri"/>
                <w:color w:val="000000"/>
                <w:sz w:val="24"/>
              </w:rPr>
            </w:pPr>
          </w:p>
          <w:p w14:paraId="678865EB" w14:textId="232ECE16" w:rsidR="006D5476" w:rsidRPr="006D5476" w:rsidRDefault="006D5476" w:rsidP="006D5476">
            <w:pPr>
              <w:pStyle w:val="Odstavecseseznamem"/>
              <w:numPr>
                <w:ilvl w:val="0"/>
                <w:numId w:val="15"/>
              </w:numPr>
              <w:ind w:left="363" w:hanging="284"/>
              <w:rPr>
                <w:rFonts w:ascii="Calibri" w:hAnsi="Calibri"/>
                <w:color w:val="000000"/>
                <w:sz w:val="24"/>
              </w:rPr>
            </w:pPr>
            <w:r w:rsidRPr="006D5476">
              <w:rPr>
                <w:rFonts w:ascii="Calibri" w:hAnsi="Calibri"/>
                <w:color w:val="000000"/>
                <w:sz w:val="24"/>
              </w:rPr>
              <w:t>Činnosti R 93 (Sportovní, zábavní a rekreační činnosti) a I 56 (Stravování a pohostinství) mohou být realizovány pouze ve vazbě na venkovskou turistik</w:t>
            </w:r>
            <w:r w:rsidR="00A62150">
              <w:rPr>
                <w:rFonts w:ascii="Calibri" w:hAnsi="Calibri"/>
                <w:color w:val="000000"/>
                <w:sz w:val="24"/>
              </w:rPr>
              <w:t xml:space="preserve">u </w:t>
            </w:r>
            <w:r w:rsidR="004879CC">
              <w:rPr>
                <w:rFonts w:ascii="Calibri" w:hAnsi="Calibri"/>
                <w:color w:val="000000"/>
                <w:sz w:val="24"/>
              </w:rPr>
              <w:t>(žadatel doloží, že v okruhu 10 km od místa realizace se nachází objekt venkovské turistiky s návštěvností min. 2000 osob/rok;</w:t>
            </w:r>
            <w:r w:rsidR="00FC4DC5">
              <w:rPr>
                <w:rFonts w:ascii="Calibri" w:hAnsi="Calibri"/>
                <w:color w:val="000000"/>
                <w:sz w:val="24"/>
              </w:rPr>
              <w:t xml:space="preserve"> Objekt venkovské turistiky</w:t>
            </w:r>
            <w:r w:rsidR="00586E3A">
              <w:rPr>
                <w:rFonts w:ascii="Calibri" w:hAnsi="Calibri"/>
                <w:color w:val="000000"/>
                <w:sz w:val="24"/>
              </w:rPr>
              <w:t xml:space="preserve"> se musí nacházet na území obce do 25 tis. </w:t>
            </w:r>
            <w:r w:rsidR="00A62150">
              <w:rPr>
                <w:rFonts w:ascii="Calibri" w:hAnsi="Calibri"/>
                <w:color w:val="000000"/>
                <w:sz w:val="24"/>
              </w:rPr>
              <w:t>obyvatel) nebo ubytovací kapacitu (ubytovací kapacita musí být ve vlastnictví žadatele, příp. ubyt. Kapacita je součástí projektu, příp. žadatel má uzavřenou smlouvu o spolupráci s provozovatelem ubyt. kapacity – např. o zajištění stravování pro hosty, a to v docházkové vzdálenosti</w:t>
            </w:r>
            <w:r w:rsidR="0007205E">
              <w:rPr>
                <w:rFonts w:ascii="Calibri" w:hAnsi="Calibri"/>
                <w:color w:val="000000"/>
                <w:sz w:val="24"/>
              </w:rPr>
              <w:t>).</w:t>
            </w:r>
          </w:p>
          <w:p w14:paraId="76BAC415" w14:textId="07485D47" w:rsidR="006D5476" w:rsidRPr="006D5476" w:rsidRDefault="006D5476" w:rsidP="006D5476">
            <w:pPr>
              <w:pStyle w:val="Odstavecseseznamem"/>
              <w:numPr>
                <w:ilvl w:val="0"/>
                <w:numId w:val="15"/>
              </w:numPr>
              <w:ind w:left="363" w:hanging="284"/>
              <w:rPr>
                <w:rFonts w:ascii="Calibri" w:hAnsi="Calibri"/>
                <w:color w:val="000000"/>
                <w:sz w:val="24"/>
              </w:rPr>
            </w:pPr>
            <w:r w:rsidRPr="006D5476">
              <w:rPr>
                <w:rFonts w:ascii="Calibri" w:hAnsi="Calibri"/>
                <w:color w:val="000000"/>
                <w:sz w:val="24"/>
              </w:rPr>
              <w:t xml:space="preserve">V případě uvádění produktů na trh, jsou na trh uváděny produkty, které nejsou uvedeny v příloze I Smlouvy o fungování EU, </w:t>
            </w:r>
            <w:r w:rsidR="0007205E">
              <w:rPr>
                <w:rFonts w:ascii="Calibri" w:hAnsi="Calibri"/>
                <w:color w:val="000000"/>
                <w:sz w:val="24"/>
              </w:rPr>
              <w:t>tzv. non-</w:t>
            </w:r>
            <w:proofErr w:type="spellStart"/>
            <w:r w:rsidR="0007205E">
              <w:rPr>
                <w:rFonts w:ascii="Calibri" w:hAnsi="Calibri"/>
                <w:color w:val="000000"/>
                <w:sz w:val="24"/>
              </w:rPr>
              <w:t>annex</w:t>
            </w:r>
            <w:proofErr w:type="spellEnd"/>
            <w:r w:rsidR="00EA4EC6">
              <w:rPr>
                <w:rFonts w:ascii="Calibri" w:hAnsi="Calibri"/>
                <w:color w:val="000000"/>
                <w:sz w:val="24"/>
              </w:rPr>
              <w:t xml:space="preserve">, případně v kombinaci s produkty uvedenými v příloze I Smlouvy o fungování EU, tzv. </w:t>
            </w:r>
            <w:proofErr w:type="spellStart"/>
            <w:r w:rsidR="00EA4EC6">
              <w:rPr>
                <w:rFonts w:ascii="Calibri" w:hAnsi="Calibri"/>
                <w:color w:val="000000"/>
                <w:sz w:val="24"/>
              </w:rPr>
              <w:t>annex</w:t>
            </w:r>
            <w:proofErr w:type="spellEnd"/>
            <w:r w:rsidR="00EA4EC6">
              <w:rPr>
                <w:rFonts w:ascii="Calibri" w:hAnsi="Calibri"/>
                <w:color w:val="000000"/>
                <w:sz w:val="24"/>
              </w:rPr>
              <w:t xml:space="preserve"> </w:t>
            </w:r>
            <w:r w:rsidR="0007205E">
              <w:rPr>
                <w:rFonts w:ascii="Calibri" w:hAnsi="Calibri"/>
                <w:color w:val="000000"/>
                <w:sz w:val="24"/>
              </w:rPr>
              <w:t>(převažovat musí tržby za produkty neuvedené v příloze I Smlouvy o fungování EU)</w:t>
            </w:r>
            <w:r w:rsidRPr="006D5476">
              <w:rPr>
                <w:rFonts w:ascii="Calibri" w:hAnsi="Calibri"/>
                <w:color w:val="000000"/>
                <w:sz w:val="24"/>
              </w:rPr>
              <w:t>případně v kombinaci31 s produkty uvedenými v příloze I Smlouvy o fungování EU (převažovat musí produkty neuvedené v příloz</w:t>
            </w:r>
            <w:r>
              <w:rPr>
                <w:rFonts w:ascii="Calibri" w:hAnsi="Calibri"/>
                <w:color w:val="000000"/>
                <w:sz w:val="24"/>
              </w:rPr>
              <w:t xml:space="preserve">e I Smlouvy o fungování EU); </w:t>
            </w:r>
            <w:r w:rsidR="00EA4EC6">
              <w:rPr>
                <w:rFonts w:ascii="Calibri" w:hAnsi="Calibri"/>
                <w:color w:val="000000"/>
                <w:sz w:val="24"/>
              </w:rPr>
              <w:t xml:space="preserve">v případě kombinace </w:t>
            </w:r>
            <w:proofErr w:type="spellStart"/>
            <w:r w:rsidR="00EA4EC6">
              <w:rPr>
                <w:rFonts w:ascii="Calibri" w:hAnsi="Calibri"/>
                <w:color w:val="000000"/>
                <w:sz w:val="24"/>
              </w:rPr>
              <w:t>annexových</w:t>
            </w:r>
            <w:proofErr w:type="spellEnd"/>
            <w:r w:rsidR="00EA4EC6">
              <w:rPr>
                <w:rFonts w:ascii="Calibri" w:hAnsi="Calibri"/>
                <w:color w:val="000000"/>
                <w:sz w:val="24"/>
              </w:rPr>
              <w:t xml:space="preserve"> a </w:t>
            </w:r>
            <w:proofErr w:type="spellStart"/>
            <w:r w:rsidR="00EA4EC6">
              <w:rPr>
                <w:rFonts w:ascii="Calibri" w:hAnsi="Calibri"/>
                <w:color w:val="000000"/>
                <w:sz w:val="24"/>
              </w:rPr>
              <w:t>neannexových</w:t>
            </w:r>
            <w:proofErr w:type="spellEnd"/>
            <w:r w:rsidR="00EA4EC6">
              <w:rPr>
                <w:rFonts w:ascii="Calibri" w:hAnsi="Calibri"/>
                <w:color w:val="000000"/>
                <w:sz w:val="24"/>
              </w:rPr>
              <w:t xml:space="preserve">  produktů je žadatel/příjemce dotace povinen vést oddělenou evidenci tržeb </w:t>
            </w:r>
            <w:proofErr w:type="spellStart"/>
            <w:r w:rsidR="00EA4EC6">
              <w:rPr>
                <w:rFonts w:ascii="Calibri" w:hAnsi="Calibri"/>
                <w:color w:val="000000"/>
                <w:sz w:val="24"/>
              </w:rPr>
              <w:t>zlášť</w:t>
            </w:r>
            <w:proofErr w:type="spellEnd"/>
            <w:r w:rsidR="00EA4EC6">
              <w:rPr>
                <w:rFonts w:ascii="Calibri" w:hAnsi="Calibri"/>
                <w:color w:val="000000"/>
                <w:sz w:val="24"/>
              </w:rPr>
              <w:t xml:space="preserve"> </w:t>
            </w:r>
            <w:proofErr w:type="spellStart"/>
            <w:r w:rsidR="00EA4EC6">
              <w:rPr>
                <w:rFonts w:ascii="Calibri" w:hAnsi="Calibri"/>
                <w:color w:val="000000"/>
                <w:sz w:val="24"/>
              </w:rPr>
              <w:t>annexových</w:t>
            </w:r>
            <w:proofErr w:type="spellEnd"/>
            <w:r w:rsidR="00EA4EC6">
              <w:rPr>
                <w:rFonts w:ascii="Calibri" w:hAnsi="Calibri"/>
                <w:color w:val="000000"/>
                <w:sz w:val="24"/>
              </w:rPr>
              <w:t xml:space="preserve"> a </w:t>
            </w:r>
            <w:proofErr w:type="spellStart"/>
            <w:r w:rsidR="00EA4EC6">
              <w:rPr>
                <w:rFonts w:ascii="Calibri" w:hAnsi="Calibri"/>
                <w:color w:val="000000"/>
                <w:sz w:val="24"/>
              </w:rPr>
              <w:t>neannexových</w:t>
            </w:r>
            <w:proofErr w:type="spellEnd"/>
            <w:r w:rsidR="00EA4EC6">
              <w:rPr>
                <w:rFonts w:ascii="Calibri" w:hAnsi="Calibri"/>
                <w:color w:val="000000"/>
                <w:sz w:val="24"/>
              </w:rPr>
              <w:t xml:space="preserve"> produktů v příslušné provozovně. Ověření údajů v ní uvedených bude zkontrolováno v účetnictví/daňové evidenci příjemce dotace. Předmětem kontroly budou účetní doklady počínaje prvním účetně uzavřeným obdobím následujícím po podání Žádosti o platbu na MAS. </w:t>
            </w:r>
            <w:r w:rsidRPr="006D5476">
              <w:rPr>
                <w:rFonts w:ascii="Calibri" w:hAnsi="Calibri"/>
                <w:color w:val="000000"/>
                <w:sz w:val="24"/>
              </w:rPr>
              <w:t>Bude tedy možné podpořit maloobchod se smíšeným zbožím, ve kterém jsou prodávány jak produkty uvedené v příloze I Smlouvy o fungování EU, tak produkty zde neuvedené.</w:t>
            </w:r>
          </w:p>
          <w:p w14:paraId="11CB4ED3" w14:textId="77777777" w:rsidR="001D686C" w:rsidRDefault="006D5476" w:rsidP="001D686C">
            <w:pPr>
              <w:pStyle w:val="Odstavecseseznamem"/>
              <w:numPr>
                <w:ilvl w:val="0"/>
                <w:numId w:val="15"/>
              </w:numPr>
              <w:ind w:left="363" w:hanging="284"/>
              <w:rPr>
                <w:rFonts w:ascii="Calibri" w:hAnsi="Calibri"/>
                <w:color w:val="000000"/>
                <w:sz w:val="24"/>
              </w:rPr>
            </w:pPr>
            <w:r w:rsidRPr="006D5476">
              <w:rPr>
                <w:rFonts w:ascii="Calibri" w:hAnsi="Calibri"/>
                <w:color w:val="000000"/>
                <w:sz w:val="24"/>
              </w:rPr>
              <w:t>V případě zpracování produktů, jsou výstupem procesu produkty, které nejsou uvedeny v příl</w:t>
            </w:r>
            <w:r>
              <w:rPr>
                <w:rFonts w:ascii="Calibri" w:hAnsi="Calibri"/>
                <w:color w:val="000000"/>
                <w:sz w:val="24"/>
              </w:rPr>
              <w:t xml:space="preserve">oze I Smlouvy o fungování EU; </w:t>
            </w:r>
          </w:p>
          <w:p w14:paraId="545890C7" w14:textId="6EBB2981" w:rsidR="001D686C" w:rsidRPr="001D686C" w:rsidRDefault="001D686C" w:rsidP="001D686C">
            <w:pPr>
              <w:pStyle w:val="Odstavecseseznamem"/>
              <w:numPr>
                <w:ilvl w:val="0"/>
                <w:numId w:val="15"/>
              </w:numPr>
              <w:ind w:left="363" w:hanging="284"/>
              <w:rPr>
                <w:rFonts w:ascii="Calibri" w:hAnsi="Calibri"/>
                <w:color w:val="000000"/>
                <w:sz w:val="24"/>
              </w:rPr>
            </w:pPr>
            <w:r w:rsidRPr="001D686C">
              <w:rPr>
                <w:rFonts w:ascii="Calibri" w:hAnsi="Calibri"/>
                <w:sz w:val="24"/>
                <w:szCs w:val="24"/>
              </w:rPr>
              <w:t>V případě výstavby a modernizace zařízení na výrobu tvarovaných biopaliv musí většina vyrobeného paliva žadatelem (více než 50 %) sloužit k prodeji nebo být využita pro nezemědělskou činnost</w:t>
            </w:r>
            <w:r>
              <w:rPr>
                <w:rStyle w:val="s1"/>
                <w:rFonts w:ascii="Calibri" w:hAnsi="Calibri"/>
                <w:sz w:val="24"/>
                <w:szCs w:val="24"/>
              </w:rPr>
              <w:t>.</w:t>
            </w:r>
          </w:p>
          <w:p w14:paraId="7C85EBAB" w14:textId="298B5626" w:rsidR="004879CC" w:rsidRPr="004879CC" w:rsidRDefault="004879CC" w:rsidP="004879CC">
            <w:pPr>
              <w:pStyle w:val="Odstavecseseznamem"/>
              <w:numPr>
                <w:ilvl w:val="0"/>
                <w:numId w:val="15"/>
              </w:numPr>
              <w:ind w:left="363" w:hanging="284"/>
              <w:rPr>
                <w:rFonts w:ascii="Calibri" w:hAnsi="Calibri"/>
                <w:color w:val="000000"/>
                <w:sz w:val="24"/>
              </w:rPr>
            </w:pPr>
            <w:r w:rsidRPr="004879CC">
              <w:rPr>
                <w:rFonts w:ascii="Calibri" w:hAnsi="Calibri"/>
                <w:color w:val="000000"/>
                <w:sz w:val="24"/>
              </w:rPr>
              <w:t xml:space="preserve">Dotaci nelze poskytnout na: </w:t>
            </w:r>
            <w:r w:rsidR="00EA4EC6">
              <w:rPr>
                <w:rFonts w:ascii="Calibri" w:hAnsi="Calibri"/>
                <w:color w:val="000000"/>
                <w:sz w:val="24"/>
              </w:rPr>
              <w:t xml:space="preserve">podnikání v oblasti dotačního poradenství, </w:t>
            </w:r>
            <w:r w:rsidRPr="004879CC">
              <w:rPr>
                <w:rFonts w:ascii="Calibri" w:hAnsi="Calibri"/>
                <w:color w:val="000000"/>
                <w:sz w:val="24"/>
              </w:rPr>
              <w:t>nákup zemědělských a lesnických strojů (</w:t>
            </w:r>
            <w:r w:rsidR="00854673">
              <w:rPr>
                <w:rFonts w:ascii="Calibri" w:hAnsi="Calibri"/>
                <w:color w:val="000000"/>
                <w:sz w:val="24"/>
              </w:rPr>
              <w:t>zejména s</w:t>
            </w:r>
            <w:r w:rsidRPr="004879CC">
              <w:rPr>
                <w:rFonts w:ascii="Calibri" w:hAnsi="Calibri"/>
                <w:color w:val="000000"/>
                <w:sz w:val="24"/>
              </w:rPr>
              <w:t>trojů označených kategorií T</w:t>
            </w:r>
            <w:r w:rsidR="00854673">
              <w:rPr>
                <w:rFonts w:ascii="Calibri" w:hAnsi="Calibri"/>
                <w:color w:val="000000"/>
                <w:sz w:val="24"/>
              </w:rPr>
              <w:t xml:space="preserve">, C, </w:t>
            </w:r>
            <w:r w:rsidR="00EA4EC6">
              <w:rPr>
                <w:rFonts w:ascii="Calibri" w:hAnsi="Calibri"/>
                <w:color w:val="000000"/>
                <w:sz w:val="24"/>
              </w:rPr>
              <w:t xml:space="preserve">R, </w:t>
            </w:r>
            <w:proofErr w:type="gramStart"/>
            <w:r w:rsidR="00854673">
              <w:rPr>
                <w:rFonts w:ascii="Calibri" w:hAnsi="Calibri"/>
                <w:color w:val="000000"/>
                <w:sz w:val="24"/>
              </w:rPr>
              <w:t xml:space="preserve">S </w:t>
            </w:r>
            <w:r w:rsidRPr="004879CC">
              <w:rPr>
                <w:rFonts w:ascii="Calibri" w:hAnsi="Calibri"/>
                <w:color w:val="000000"/>
                <w:sz w:val="24"/>
              </w:rPr>
              <w:t xml:space="preserve"> –</w:t>
            </w:r>
            <w:proofErr w:type="gramEnd"/>
            <w:r w:rsidRPr="004879CC">
              <w:rPr>
                <w:rFonts w:ascii="Calibri" w:hAnsi="Calibri"/>
                <w:color w:val="000000"/>
                <w:sz w:val="24"/>
              </w:rPr>
              <w:t xml:space="preserve"> traktory </w:t>
            </w:r>
            <w:r w:rsidR="00854673">
              <w:rPr>
                <w:rFonts w:ascii="Calibri" w:hAnsi="Calibri"/>
                <w:color w:val="000000"/>
                <w:sz w:val="24"/>
              </w:rPr>
              <w:t xml:space="preserve">a ostatní </w:t>
            </w:r>
            <w:r w:rsidRPr="004879CC">
              <w:rPr>
                <w:rFonts w:ascii="Calibri" w:hAnsi="Calibri"/>
                <w:color w:val="000000"/>
                <w:sz w:val="24"/>
              </w:rPr>
              <w:t>zemědělské nebo lesnické</w:t>
            </w:r>
            <w:r w:rsidR="00854673">
              <w:rPr>
                <w:rFonts w:ascii="Calibri" w:hAnsi="Calibri"/>
                <w:color w:val="000000"/>
                <w:sz w:val="24"/>
              </w:rPr>
              <w:t xml:space="preserve"> stroje)</w:t>
            </w:r>
          </w:p>
          <w:p w14:paraId="4DD1282F" w14:textId="77777777" w:rsidR="001D686C" w:rsidRDefault="004879CC" w:rsidP="001D686C">
            <w:pPr>
              <w:pStyle w:val="Odstavecseseznamem"/>
              <w:numPr>
                <w:ilvl w:val="0"/>
                <w:numId w:val="15"/>
              </w:numPr>
              <w:ind w:left="363" w:hanging="284"/>
              <w:rPr>
                <w:rFonts w:ascii="Calibri" w:hAnsi="Calibri"/>
                <w:color w:val="000000"/>
                <w:sz w:val="24"/>
              </w:rPr>
            </w:pPr>
            <w:r w:rsidRPr="004879CC">
              <w:rPr>
                <w:rFonts w:ascii="Calibri" w:hAnsi="Calibri"/>
                <w:color w:val="000000"/>
                <w:sz w:val="24"/>
              </w:rPr>
              <w:t xml:space="preserve">Žadatel/příjemce dotace musí dodržet kategorii podniku (malý, střední), kterou deklaroval při podání Žádosti o dotaci na MAS, i ke dni podpisu Dohody, případně může svoji kategorii zmenšit; </w:t>
            </w:r>
          </w:p>
          <w:p w14:paraId="73C384E0" w14:textId="6BFF7A8C" w:rsidR="001D686C" w:rsidRPr="001D686C" w:rsidRDefault="001D686C" w:rsidP="001D686C">
            <w:pPr>
              <w:pStyle w:val="Odstavecseseznamem"/>
              <w:numPr>
                <w:ilvl w:val="0"/>
                <w:numId w:val="15"/>
              </w:numPr>
              <w:ind w:left="363" w:hanging="284"/>
              <w:rPr>
                <w:rFonts w:ascii="Calibri" w:hAnsi="Calibri"/>
                <w:color w:val="000000"/>
                <w:sz w:val="24"/>
              </w:rPr>
            </w:pPr>
            <w:r w:rsidRPr="001D686C">
              <w:rPr>
                <w:rFonts w:ascii="Calibri" w:hAnsi="Calibri"/>
                <w:sz w:val="24"/>
                <w:szCs w:val="24"/>
              </w:rPr>
              <w:t xml:space="preserve">Je-li součástí projektu ubytovací zařízení, musí se jednat o zařízení v souladu s § 2 odst. c) vyhlášky č. 501/2006 Sb. o obecných </w:t>
            </w:r>
            <w:r w:rsidRPr="001D686C">
              <w:rPr>
                <w:rFonts w:ascii="Calibri" w:hAnsi="Calibri"/>
                <w:sz w:val="24"/>
                <w:szCs w:val="24"/>
              </w:rPr>
              <w:lastRenderedPageBreak/>
              <w:t>požadavcích na využívání území včetně navazujících změn vyhlášky, a dále o zařízení s kapacitou nejméně 6 pevných lůžek, maximálně však 40 pevných lůžek (bez přistýlek). Kapacita 40 lůžek se vztahuje k ubytovacímu zařízení splňujícímu samostatný funkční celek (např. se samostatnou recepcí, sociálním zařízením, oplocením, s vlastním názvem a propagací apod</w:t>
            </w:r>
            <w:r>
              <w:t>.</w:t>
            </w:r>
            <w:r>
              <w:rPr>
                <w:rStyle w:val="apple-converted-space"/>
              </w:rPr>
              <w:t> </w:t>
            </w:r>
          </w:p>
          <w:p w14:paraId="7EE38AB1" w14:textId="31731424" w:rsidR="004879CC" w:rsidRDefault="004879CC" w:rsidP="004879CC">
            <w:pPr>
              <w:pStyle w:val="Odstavecseseznamem"/>
              <w:numPr>
                <w:ilvl w:val="0"/>
                <w:numId w:val="15"/>
              </w:numPr>
              <w:ind w:left="363" w:hanging="284"/>
              <w:rPr>
                <w:rFonts w:ascii="Calibri" w:hAnsi="Calibri"/>
                <w:color w:val="000000"/>
                <w:sz w:val="24"/>
              </w:rPr>
            </w:pPr>
            <w:r w:rsidRPr="004879CC">
              <w:rPr>
                <w:rFonts w:ascii="Calibri" w:hAnsi="Calibri"/>
                <w:color w:val="000000"/>
                <w:sz w:val="24"/>
              </w:rPr>
              <w:t>V případě, že se na území obce, ve které je realizován projekt týkající se ubytování, vybírají místní poplatky z cestovního ruchu (poplatek z ubytovací kapacity, rekreační poplatek), se žadatel přihlásí k poplatkové povinnosti u příslušné obce, a to nejpozději k datu</w:t>
            </w:r>
            <w:r>
              <w:rPr>
                <w:rFonts w:ascii="Calibri" w:hAnsi="Calibri"/>
                <w:color w:val="000000"/>
                <w:sz w:val="24"/>
              </w:rPr>
              <w:t xml:space="preserve"> předložení Žádosti o platbu</w:t>
            </w:r>
            <w:r w:rsidR="00420E4B">
              <w:rPr>
                <w:rFonts w:ascii="Calibri" w:hAnsi="Calibri"/>
                <w:color w:val="000000"/>
                <w:sz w:val="24"/>
              </w:rPr>
              <w:t xml:space="preserve"> na MAS.</w:t>
            </w:r>
          </w:p>
          <w:p w14:paraId="1BADC946" w14:textId="77777777" w:rsidR="00831B62" w:rsidRDefault="004879CC" w:rsidP="004879CC">
            <w:pPr>
              <w:pStyle w:val="Odstavecseseznamem"/>
              <w:numPr>
                <w:ilvl w:val="0"/>
                <w:numId w:val="15"/>
              </w:numPr>
              <w:ind w:left="363" w:hanging="284"/>
              <w:rPr>
                <w:rFonts w:ascii="Calibri" w:hAnsi="Calibri"/>
                <w:color w:val="000000"/>
                <w:sz w:val="24"/>
              </w:rPr>
            </w:pPr>
            <w:r w:rsidRPr="004879CC">
              <w:rPr>
                <w:rFonts w:ascii="Calibri" w:hAnsi="Calibri"/>
                <w:color w:val="000000"/>
                <w:sz w:val="24"/>
              </w:rPr>
              <w:t xml:space="preserve">Přípustné způsoby uspořádání právních vztahů k nemovitostem, na kterých jsou realizovány stavební výdaje, jsou: vlastnictví, spoluvlastnictví s min. </w:t>
            </w:r>
            <w:proofErr w:type="gramStart"/>
            <w:r w:rsidRPr="004879CC">
              <w:rPr>
                <w:rFonts w:ascii="Calibri" w:hAnsi="Calibri"/>
                <w:color w:val="000000"/>
                <w:sz w:val="24"/>
              </w:rPr>
              <w:t>50%</w:t>
            </w:r>
            <w:proofErr w:type="gramEnd"/>
            <w:r w:rsidRPr="004879CC">
              <w:rPr>
                <w:rFonts w:ascii="Calibri" w:hAnsi="Calibri"/>
                <w:color w:val="000000"/>
                <w:sz w:val="24"/>
              </w:rPr>
              <w:t xml:space="preserve"> spoluvlastnickým podílem, věcné břemeno</w:t>
            </w:r>
            <w:r w:rsidR="00831B62">
              <w:rPr>
                <w:rFonts w:ascii="Calibri" w:hAnsi="Calibri"/>
                <w:color w:val="000000"/>
                <w:sz w:val="24"/>
              </w:rPr>
              <w:t xml:space="preserve"> a právo stavby.</w:t>
            </w:r>
            <w:r w:rsidRPr="004879CC">
              <w:rPr>
                <w:rFonts w:ascii="Calibri" w:hAnsi="Calibri"/>
                <w:color w:val="000000"/>
                <w:sz w:val="24"/>
              </w:rPr>
              <w:t xml:space="preserve"> V případě pozemku pod stavbou je přípustný také nájem. </w:t>
            </w:r>
          </w:p>
          <w:p w14:paraId="088C85DD" w14:textId="77777777" w:rsidR="00467DBF" w:rsidRDefault="004879CC" w:rsidP="00467DBF">
            <w:pPr>
              <w:pStyle w:val="Odstavecseseznamem"/>
              <w:ind w:left="363"/>
              <w:rPr>
                <w:rFonts w:ascii="Calibri" w:hAnsi="Calibri"/>
                <w:color w:val="000000"/>
                <w:sz w:val="24"/>
              </w:rPr>
            </w:pPr>
            <w:r w:rsidRPr="004879CC">
              <w:rPr>
                <w:rFonts w:ascii="Calibri" w:hAnsi="Calibri"/>
                <w:color w:val="000000"/>
                <w:sz w:val="24"/>
              </w:rPr>
              <w:t xml:space="preserve">Přípustné způsoby uspořádání právních vztahů k nemovitostem, do kterých budou umístěny podpořené stroje, technologie nebo vybavení jsou: vlastnictví, spoluvlastnictví s min. </w:t>
            </w:r>
            <w:proofErr w:type="gramStart"/>
            <w:r w:rsidRPr="004879CC">
              <w:rPr>
                <w:rFonts w:ascii="Calibri" w:hAnsi="Calibri"/>
                <w:color w:val="000000"/>
                <w:sz w:val="24"/>
              </w:rPr>
              <w:t>50%</w:t>
            </w:r>
            <w:proofErr w:type="gramEnd"/>
            <w:r w:rsidRPr="004879CC">
              <w:rPr>
                <w:rFonts w:ascii="Calibri" w:hAnsi="Calibri"/>
                <w:color w:val="000000"/>
                <w:sz w:val="24"/>
              </w:rPr>
              <w:t xml:space="preserve"> spoluvlastnickým podílem, nájem, výpůjčka, věcné břemeno</w:t>
            </w:r>
            <w:r w:rsidR="00831B62">
              <w:rPr>
                <w:rFonts w:ascii="Calibri" w:hAnsi="Calibri"/>
                <w:color w:val="000000"/>
                <w:sz w:val="24"/>
              </w:rPr>
              <w:t xml:space="preserve"> a právo stavby. </w:t>
            </w:r>
            <w:r w:rsidRPr="004879CC">
              <w:rPr>
                <w:rFonts w:ascii="Calibri" w:hAnsi="Calibri"/>
                <w:color w:val="000000"/>
                <w:sz w:val="24"/>
              </w:rPr>
              <w:t xml:space="preserve"> </w:t>
            </w:r>
          </w:p>
          <w:p w14:paraId="7A4C96F7" w14:textId="11F8259D" w:rsidR="00831B62" w:rsidRPr="00467DBF" w:rsidRDefault="00090C60" w:rsidP="00467DBF">
            <w:pPr>
              <w:pStyle w:val="Odstavecseseznamem"/>
              <w:ind w:left="363"/>
              <w:rPr>
                <w:rFonts w:ascii="Calibri" w:hAnsi="Calibri"/>
                <w:color w:val="000000"/>
                <w:sz w:val="24"/>
              </w:rPr>
            </w:pPr>
            <w:r w:rsidRPr="00467DBF">
              <w:rPr>
                <w:rFonts w:ascii="Calibri" w:hAnsi="Calibri"/>
                <w:color w:val="000000"/>
                <w:sz w:val="24"/>
              </w:rPr>
              <w:t xml:space="preserve">V případě </w:t>
            </w:r>
            <w:r w:rsidR="00467DBF" w:rsidRPr="00467DBF">
              <w:rPr>
                <w:rFonts w:ascii="Calibri" w:hAnsi="Calibri"/>
                <w:color w:val="000000"/>
                <w:sz w:val="24"/>
              </w:rPr>
              <w:t>pořízení vozidla kategorie N1 musí mít žadatel sídlo/trvalé bydliště nebo provozovnu na území příslušné MAS</w:t>
            </w:r>
          </w:p>
        </w:tc>
      </w:tr>
      <w:tr w:rsidR="004879CC" w:rsidRPr="005B3093" w14:paraId="3ECD4624" w14:textId="77777777" w:rsidTr="0039471E">
        <w:trPr>
          <w:trHeight w:val="420"/>
        </w:trPr>
        <w:tc>
          <w:tcPr>
            <w:tcW w:w="3251" w:type="dxa"/>
            <w:tcBorders>
              <w:top w:val="single" w:sz="4" w:space="0" w:color="auto"/>
              <w:left w:val="single" w:sz="4" w:space="0" w:color="auto"/>
              <w:bottom w:val="single" w:sz="4" w:space="0" w:color="auto"/>
              <w:right w:val="single" w:sz="4" w:space="0" w:color="auto"/>
            </w:tcBorders>
            <w:shd w:val="clear" w:color="000000" w:fill="DDEBF7"/>
            <w:vAlign w:val="center"/>
          </w:tcPr>
          <w:p w14:paraId="65512CB0" w14:textId="77777777" w:rsidR="004879CC" w:rsidRPr="00FE2D1C" w:rsidRDefault="004879CC" w:rsidP="006D5476">
            <w:pPr>
              <w:jc w:val="center"/>
              <w:rPr>
                <w:rFonts w:ascii="Calibri" w:eastAsia="Times New Roman" w:hAnsi="Calibri" w:cs="Calibri"/>
                <w:b/>
                <w:bCs/>
                <w:color w:val="FF0000"/>
                <w:sz w:val="24"/>
                <w:szCs w:val="32"/>
                <w:lang w:eastAsia="cs-CZ"/>
              </w:rPr>
            </w:pPr>
            <w:r w:rsidRPr="0010750E">
              <w:rPr>
                <w:rFonts w:ascii="Calibri" w:eastAsia="Times New Roman" w:hAnsi="Calibri" w:cs="Calibri"/>
                <w:b/>
                <w:bCs/>
                <w:color w:val="000000" w:themeColor="text1"/>
                <w:sz w:val="24"/>
                <w:szCs w:val="32"/>
                <w:lang w:eastAsia="cs-CZ"/>
              </w:rPr>
              <w:lastRenderedPageBreak/>
              <w:t>Další podmínky pro režim blokové výjimky</w:t>
            </w:r>
          </w:p>
        </w:tc>
        <w:tc>
          <w:tcPr>
            <w:tcW w:w="6945" w:type="dxa"/>
            <w:tcBorders>
              <w:top w:val="single" w:sz="4" w:space="0" w:color="auto"/>
              <w:left w:val="single" w:sz="4" w:space="0" w:color="auto"/>
              <w:bottom w:val="single" w:sz="4" w:space="0" w:color="auto"/>
              <w:right w:val="single" w:sz="4" w:space="0" w:color="auto"/>
            </w:tcBorders>
            <w:shd w:val="clear" w:color="auto" w:fill="auto"/>
            <w:noWrap/>
          </w:tcPr>
          <w:p w14:paraId="4CBA441C" w14:textId="77777777" w:rsidR="00993376" w:rsidRPr="00EA649E" w:rsidRDefault="00993376" w:rsidP="00993376">
            <w:pPr>
              <w:pStyle w:val="p2"/>
              <w:rPr>
                <w:rFonts w:ascii="Calibri" w:hAnsi="Calibri"/>
                <w:sz w:val="24"/>
                <w:szCs w:val="24"/>
              </w:rPr>
            </w:pPr>
          </w:p>
          <w:p w14:paraId="208B8A04" w14:textId="77777777" w:rsidR="00EA649E" w:rsidRPr="00EA649E" w:rsidRDefault="00EA649E" w:rsidP="00EA649E">
            <w:pPr>
              <w:spacing w:after="0" w:line="240" w:lineRule="auto"/>
              <w:rPr>
                <w:rFonts w:ascii="Calibri" w:hAnsi="Calibri" w:cs="Arial"/>
                <w:sz w:val="24"/>
                <w:szCs w:val="24"/>
                <w:lang w:eastAsia="cs-CZ"/>
              </w:rPr>
            </w:pPr>
          </w:p>
          <w:p w14:paraId="243A748D" w14:textId="77777777" w:rsidR="00EA649E" w:rsidRPr="00EA649E" w:rsidRDefault="00EA649E" w:rsidP="00EA649E">
            <w:pPr>
              <w:pStyle w:val="Odstavecseseznamem"/>
              <w:numPr>
                <w:ilvl w:val="0"/>
                <w:numId w:val="22"/>
              </w:numPr>
              <w:spacing w:after="11" w:line="240" w:lineRule="auto"/>
              <w:rPr>
                <w:rFonts w:ascii="Calibri" w:hAnsi="Calibri" w:cs="Arial"/>
                <w:sz w:val="24"/>
                <w:szCs w:val="24"/>
                <w:lang w:eastAsia="cs-CZ"/>
              </w:rPr>
            </w:pPr>
            <w:r w:rsidRPr="00EA649E">
              <w:rPr>
                <w:rFonts w:ascii="Calibri" w:hAnsi="Calibri" w:cs="Arial"/>
                <w:sz w:val="24"/>
                <w:szCs w:val="24"/>
                <w:lang w:eastAsia="cs-CZ"/>
              </w:rPr>
              <w:t>Dotaci lze poskytnout pouze na počáteční investici; C. Počáteční investicí se rozumí investice do hmotného a nehmotného majetku za účelem založení nové provozovny, rozšíření kapacity stávající provozovny, rozšíření výrobního sortimentu provozovny o výrobky, které nebyly dříve v této provozovně vyráběny, nebo za účelem zásadní změny celkového výrobního postupu stávající provozovny. Metodika pro stanovení kategorie provozovny je uvedena v příloze 16 Pravidel. </w:t>
            </w:r>
          </w:p>
          <w:p w14:paraId="31D56E29" w14:textId="7FB2DBCA" w:rsidR="00EA649E" w:rsidRDefault="00EA649E" w:rsidP="00EA649E">
            <w:pPr>
              <w:pStyle w:val="p1"/>
              <w:numPr>
                <w:ilvl w:val="0"/>
                <w:numId w:val="22"/>
              </w:numPr>
              <w:rPr>
                <w:rFonts w:ascii="Calibri" w:hAnsi="Calibri"/>
                <w:sz w:val="24"/>
                <w:szCs w:val="24"/>
              </w:rPr>
            </w:pPr>
            <w:r w:rsidRPr="00EA649E">
              <w:rPr>
                <w:rFonts w:ascii="Calibri" w:hAnsi="Calibri"/>
                <w:sz w:val="24"/>
                <w:szCs w:val="24"/>
              </w:rPr>
              <w:t xml:space="preserve">V případě podpory na rozšíření výrobního sortimentu stávající provozovny musí být způsobilé výdaje o nejméně 200 % vyšší než účetní hodnota znovu použitého majetku, která je zachycena v uzavřeném účetním/daňovém období předcházejícím zahájení prací; C. Účetní hodnotou se rozumí zůstatková hodnota majetku po účetních odpisech (v případě, že žadatel vede účetnictví/daňových odpisech (v případě, že žadatel vede </w:t>
            </w:r>
            <w:r w:rsidR="003B1733">
              <w:rPr>
                <w:rFonts w:ascii="Calibri" w:hAnsi="Calibri"/>
                <w:sz w:val="24"/>
                <w:szCs w:val="24"/>
              </w:rPr>
              <w:t>účetnictví/</w:t>
            </w:r>
            <w:r w:rsidRPr="00EA649E">
              <w:rPr>
                <w:rFonts w:ascii="Calibri" w:hAnsi="Calibri"/>
                <w:sz w:val="24"/>
                <w:szCs w:val="24"/>
              </w:rPr>
              <w:t xml:space="preserve">daňovou evidenci). Znovupoužitý majetek je stávající dlouhodobý hmotný i nehmotný majetek příjemce dotace, který bude využit v rámci projektu. Patří sem pozemky, budovy, stroje a zařízení, skladovací plochy, resp. ta </w:t>
            </w:r>
            <w:r w:rsidRPr="00EA649E">
              <w:rPr>
                <w:rFonts w:ascii="Calibri" w:hAnsi="Calibri"/>
                <w:sz w:val="24"/>
                <w:szCs w:val="24"/>
              </w:rPr>
              <w:lastRenderedPageBreak/>
              <w:t>jejich část, která bude pro projekt využívána. Při stanovení hodnoty znovupoužitého majetku se bere v úvahu, nakolik bude při investici využíván. (např. pro nově zavedené výrobky bude využito cca 30 % plochy skladu. Do výpočtu se tedy zahrne 30 % účetní hodnoty skladovacích prostor). </w:t>
            </w:r>
          </w:p>
          <w:p w14:paraId="55654C78" w14:textId="0BA6C5D4" w:rsidR="00EA649E" w:rsidRPr="003B1733" w:rsidRDefault="00EA649E" w:rsidP="00EA649E">
            <w:pPr>
              <w:pStyle w:val="p1"/>
              <w:numPr>
                <w:ilvl w:val="0"/>
                <w:numId w:val="22"/>
              </w:numPr>
            </w:pPr>
            <w:r w:rsidRPr="00EA649E">
              <w:rPr>
                <w:rFonts w:ascii="Calibri" w:hAnsi="Calibri"/>
                <w:sz w:val="24"/>
                <w:szCs w:val="24"/>
              </w:rPr>
              <w:t>Podpora musí mít motivační účinek v souladu s článkem 6 Nařízení Komise č. 651/20</w:t>
            </w:r>
            <w:r>
              <w:rPr>
                <w:rFonts w:ascii="Calibri" w:hAnsi="Calibri"/>
                <w:sz w:val="24"/>
                <w:szCs w:val="24"/>
              </w:rPr>
              <w:t>14</w:t>
            </w:r>
          </w:p>
          <w:p w14:paraId="180009CB" w14:textId="17C1344C" w:rsidR="003B1733" w:rsidRPr="00EA649E" w:rsidRDefault="009A2ED2" w:rsidP="00EA649E">
            <w:pPr>
              <w:pStyle w:val="p1"/>
              <w:numPr>
                <w:ilvl w:val="0"/>
                <w:numId w:val="22"/>
              </w:numPr>
            </w:pPr>
            <w:r>
              <w:rPr>
                <w:rFonts w:ascii="Calibri" w:hAnsi="Calibri" w:cs="Calibri"/>
                <w:sz w:val="24"/>
                <w:szCs w:val="24"/>
              </w:rPr>
              <w:t>Příjemce dotace není podnikem, vůči němuž byl v návaznosti na rozhodnutí Evropské komise, na základě kterého/jímž byla podpora obdržená od poskytovatele z České republiky prohlášena za protiprávní a neslučitelnou s vnitřním trhem, vystaven inkasní příkaz, který je nesplacený. U této podmínky se žadatel (podnik) chápe jako skupina propojených a partnerských podniků dle Přílohy I Nařízení Komise č. 651/2014 včetně jeho vazeb na zahraniční subjekty.</w:t>
            </w:r>
          </w:p>
          <w:p w14:paraId="7182F6AE" w14:textId="5883B542" w:rsidR="00EA649E" w:rsidRPr="00EA649E" w:rsidRDefault="00EA649E" w:rsidP="00EA649E">
            <w:pPr>
              <w:pStyle w:val="Odstavecseseznamem"/>
              <w:numPr>
                <w:ilvl w:val="0"/>
                <w:numId w:val="22"/>
              </w:numPr>
              <w:spacing w:after="12" w:line="240" w:lineRule="auto"/>
              <w:rPr>
                <w:rFonts w:ascii="Calibri" w:hAnsi="Calibri" w:cs="Arial"/>
                <w:sz w:val="24"/>
                <w:szCs w:val="24"/>
                <w:lang w:eastAsia="cs-CZ"/>
              </w:rPr>
            </w:pPr>
            <w:r w:rsidRPr="00EA649E">
              <w:rPr>
                <w:rFonts w:ascii="Calibri" w:hAnsi="Calibri" w:cs="Arial"/>
                <w:sz w:val="24"/>
                <w:szCs w:val="24"/>
                <w:lang w:eastAsia="cs-CZ"/>
              </w:rPr>
              <w:t xml:space="preserve">Žadatel/příjemce dotace nesmí být podnikem v obtížích ve smyslu čl. 2 odst. 18 Nařízení Komise č. 651/2014 </w:t>
            </w:r>
          </w:p>
          <w:p w14:paraId="483E6E87" w14:textId="3FA2235C" w:rsidR="00EA649E" w:rsidRPr="00EA649E" w:rsidRDefault="00EA649E" w:rsidP="00EA649E">
            <w:pPr>
              <w:pStyle w:val="Odstavecseseznamem"/>
              <w:numPr>
                <w:ilvl w:val="0"/>
                <w:numId w:val="22"/>
              </w:numPr>
              <w:spacing w:after="12" w:line="240" w:lineRule="auto"/>
              <w:rPr>
                <w:rFonts w:ascii="Calibri" w:hAnsi="Calibri" w:cs="Arial"/>
                <w:sz w:val="24"/>
                <w:szCs w:val="24"/>
                <w:lang w:eastAsia="cs-CZ"/>
              </w:rPr>
            </w:pPr>
            <w:r w:rsidRPr="00EA649E">
              <w:rPr>
                <w:rFonts w:ascii="Calibri" w:hAnsi="Calibri" w:cs="Arial"/>
                <w:sz w:val="24"/>
                <w:szCs w:val="24"/>
                <w:lang w:eastAsia="cs-CZ"/>
              </w:rPr>
              <w:t>V případě, že je dotace poskytována velkým podnikům na zásadní změnu výrobního postupu, musí být způsobilé výdaje vyšší než součet provedených účetních odpisů (v případě, že žadatel vede účetnictví/daňových odpisů (v případě, že žadatel vede daňovou evidenci) za předcházející tři uzavřená účetní/daňová období z majetku užívaného při činnosti, jež má být modernizována; Majetkem užívaným při činnosti se rozumí movitý i nemovitý majetek, který bude na základě projektu vyřazen a movitý i nemovitý majetek, který bude i nadále pro modernizovanou činnost využíván. Pokud se stávající majetek využívá k modernizované činnosti jen částečně, (např. pouze část plochy výrobní či skladovací haly), zahrnou se odpisy poměrnou částí, tj. podle podílu použité plochy haly, procentuální využití strojů apod.). </w:t>
            </w:r>
          </w:p>
          <w:p w14:paraId="1E231646" w14:textId="4169D52D" w:rsidR="00EA649E" w:rsidRPr="00EA649E" w:rsidRDefault="00EA649E" w:rsidP="00EA649E">
            <w:pPr>
              <w:pStyle w:val="Odstavecseseznamem"/>
              <w:numPr>
                <w:ilvl w:val="0"/>
                <w:numId w:val="22"/>
              </w:numPr>
              <w:spacing w:after="0" w:line="240" w:lineRule="auto"/>
              <w:rPr>
                <w:rFonts w:ascii="Calibri" w:hAnsi="Calibri" w:cs="Arial"/>
                <w:sz w:val="24"/>
                <w:szCs w:val="24"/>
                <w:lang w:eastAsia="cs-CZ"/>
              </w:rPr>
            </w:pPr>
            <w:r w:rsidRPr="00EA649E">
              <w:rPr>
                <w:rFonts w:ascii="Calibri" w:hAnsi="Calibri" w:cs="Arial"/>
                <w:sz w:val="24"/>
                <w:szCs w:val="24"/>
                <w:lang w:eastAsia="cs-CZ"/>
              </w:rPr>
              <w:t>Nehmotný majetek je způsobilý pro výpočet investičních nákladů, jestliže splňuje tyto podmínky: </w:t>
            </w:r>
          </w:p>
          <w:p w14:paraId="431A3E1E" w14:textId="4AEC34AE" w:rsidR="00EA649E" w:rsidRPr="00EA649E" w:rsidRDefault="00EA649E" w:rsidP="00EA649E">
            <w:pPr>
              <w:pStyle w:val="Odstavecseseznamem"/>
              <w:numPr>
                <w:ilvl w:val="0"/>
                <w:numId w:val="23"/>
              </w:numPr>
              <w:spacing w:after="11" w:line="240" w:lineRule="auto"/>
              <w:rPr>
                <w:rFonts w:ascii="Calibri" w:hAnsi="Calibri" w:cs="Arial"/>
                <w:sz w:val="24"/>
                <w:szCs w:val="24"/>
                <w:lang w:eastAsia="cs-CZ"/>
              </w:rPr>
            </w:pPr>
            <w:r w:rsidRPr="00EA649E">
              <w:rPr>
                <w:rFonts w:ascii="Calibri" w:hAnsi="Calibri" w:cs="Arial"/>
                <w:sz w:val="24"/>
                <w:szCs w:val="24"/>
                <w:lang w:eastAsia="cs-CZ"/>
              </w:rPr>
              <w:t>musí se používat výlučně jen v provozovně, která je příjemcem podpory; </w:t>
            </w:r>
          </w:p>
          <w:p w14:paraId="60CDD1B3" w14:textId="65B13B55" w:rsidR="00EA649E" w:rsidRPr="00EA649E" w:rsidRDefault="00EA649E" w:rsidP="00EA649E">
            <w:pPr>
              <w:pStyle w:val="Odstavecseseznamem"/>
              <w:numPr>
                <w:ilvl w:val="0"/>
                <w:numId w:val="23"/>
              </w:numPr>
              <w:spacing w:after="11" w:line="240" w:lineRule="auto"/>
              <w:rPr>
                <w:rFonts w:ascii="Calibri" w:hAnsi="Calibri" w:cs="Arial"/>
                <w:sz w:val="24"/>
                <w:szCs w:val="24"/>
                <w:lang w:eastAsia="cs-CZ"/>
              </w:rPr>
            </w:pPr>
            <w:r w:rsidRPr="00EA649E">
              <w:rPr>
                <w:rFonts w:ascii="Calibri" w:hAnsi="Calibri" w:cs="Arial"/>
                <w:sz w:val="24"/>
                <w:szCs w:val="24"/>
                <w:lang w:eastAsia="cs-CZ"/>
              </w:rPr>
              <w:t>musí se jednat o odepisovaný majetek; </w:t>
            </w:r>
          </w:p>
          <w:p w14:paraId="52F2A0D5" w14:textId="5B402703" w:rsidR="00EA649E" w:rsidRPr="00EA649E" w:rsidRDefault="00EA649E" w:rsidP="00EA649E">
            <w:pPr>
              <w:pStyle w:val="Odstavecseseznamem"/>
              <w:numPr>
                <w:ilvl w:val="0"/>
                <w:numId w:val="23"/>
              </w:numPr>
              <w:spacing w:after="11" w:line="240" w:lineRule="auto"/>
              <w:rPr>
                <w:rFonts w:ascii="Calibri" w:hAnsi="Calibri" w:cs="Arial"/>
                <w:sz w:val="24"/>
                <w:szCs w:val="24"/>
                <w:lang w:eastAsia="cs-CZ"/>
              </w:rPr>
            </w:pPr>
            <w:r w:rsidRPr="00EA649E">
              <w:rPr>
                <w:rFonts w:ascii="Calibri" w:hAnsi="Calibri" w:cs="Arial"/>
                <w:sz w:val="24"/>
                <w:szCs w:val="24"/>
                <w:lang w:eastAsia="cs-CZ"/>
              </w:rPr>
              <w:t>musí být pořízen za tržních podmínek od třetích osob nespřízněných s kupujícím; a </w:t>
            </w:r>
          </w:p>
          <w:p w14:paraId="4110FF4B" w14:textId="49CC8A45" w:rsidR="00EA649E" w:rsidRPr="00EA649E" w:rsidRDefault="00EA649E" w:rsidP="00EA649E">
            <w:pPr>
              <w:pStyle w:val="Odstavecseseznamem"/>
              <w:numPr>
                <w:ilvl w:val="0"/>
                <w:numId w:val="23"/>
              </w:numPr>
              <w:spacing w:after="0" w:line="240" w:lineRule="auto"/>
              <w:rPr>
                <w:rFonts w:ascii="Calibri" w:hAnsi="Calibri" w:cs="Arial"/>
                <w:sz w:val="24"/>
                <w:szCs w:val="24"/>
                <w:lang w:eastAsia="cs-CZ"/>
              </w:rPr>
            </w:pPr>
            <w:r w:rsidRPr="00EA649E">
              <w:rPr>
                <w:rFonts w:ascii="Calibri" w:hAnsi="Calibri" w:cs="Arial"/>
                <w:sz w:val="24"/>
                <w:szCs w:val="24"/>
                <w:lang w:eastAsia="cs-CZ"/>
              </w:rPr>
              <w:t>musí být zařazen do majetku podniku, který je příjemcem podpory, a musí být využíván při projektu, na nějž je poskytnuta podpora, po dobu nejméně pěti let nebo – v případě malých a středních podniků – tří let. </w:t>
            </w:r>
          </w:p>
          <w:p w14:paraId="441EBA03" w14:textId="77777777" w:rsidR="00EA649E" w:rsidRPr="00EA649E" w:rsidRDefault="00EA649E" w:rsidP="00EA649E">
            <w:pPr>
              <w:spacing w:after="0" w:line="240" w:lineRule="auto"/>
              <w:rPr>
                <w:rFonts w:ascii="Calibri" w:hAnsi="Calibri" w:cs="Arial"/>
                <w:sz w:val="24"/>
                <w:szCs w:val="24"/>
                <w:lang w:eastAsia="cs-CZ"/>
              </w:rPr>
            </w:pPr>
            <w:r w:rsidRPr="00EA649E">
              <w:rPr>
                <w:rFonts w:ascii="Calibri" w:hAnsi="Calibri" w:cs="Arial"/>
                <w:sz w:val="24"/>
                <w:szCs w:val="24"/>
                <w:lang w:eastAsia="cs-CZ"/>
              </w:rPr>
              <w:t>U velkých podniků jsou náklady na nehmotný majetek způsobilé pouze do výše 50 % celkových způsobilých investičních nákladů na počáteční investici. </w:t>
            </w:r>
          </w:p>
          <w:p w14:paraId="69D2CFCB" w14:textId="0AC733BA" w:rsidR="00EA649E" w:rsidRPr="00EA649E" w:rsidRDefault="00EA649E" w:rsidP="00EA649E">
            <w:pPr>
              <w:pStyle w:val="Odstavecseseznamem"/>
              <w:numPr>
                <w:ilvl w:val="0"/>
                <w:numId w:val="25"/>
              </w:numPr>
              <w:spacing w:after="12" w:line="240" w:lineRule="auto"/>
              <w:rPr>
                <w:rFonts w:ascii="Calibri" w:hAnsi="Calibri" w:cs="Arial"/>
                <w:sz w:val="24"/>
                <w:szCs w:val="24"/>
                <w:lang w:eastAsia="cs-CZ"/>
              </w:rPr>
            </w:pPr>
            <w:r w:rsidRPr="00EA649E">
              <w:rPr>
                <w:rFonts w:ascii="Calibri" w:hAnsi="Calibri" w:cs="Arial"/>
                <w:sz w:val="24"/>
                <w:szCs w:val="24"/>
                <w:lang w:eastAsia="cs-CZ"/>
              </w:rPr>
              <w:t xml:space="preserve">V případě pořízení majetku provozovny se zohlední pouze náklady na nákup majetku od třetích osob, které nejsou </w:t>
            </w:r>
            <w:r w:rsidRPr="00EA649E">
              <w:rPr>
                <w:rFonts w:ascii="Calibri" w:hAnsi="Calibri" w:cs="Arial"/>
                <w:sz w:val="24"/>
                <w:szCs w:val="24"/>
                <w:lang w:eastAsia="cs-CZ"/>
              </w:rPr>
              <w:lastRenderedPageBreak/>
              <w:t>spřízněny s kupujícím. Tato transakce se musí uskutečnit za tržních podmínek. Pokud již byla poskytnuta podpora na pořízení majetku před jeho nákupem, pak se náklady na tento majetek odečítají od způsobilých nákladů na pořízení provozovny. Jestliže se malý podnik převádí na rodinného příslušníka původního vlastníka nebo na zaměstnance, podmínka, že majetek musí být koupen od třetích osob nespřízněných s kupujícím, se nepoužije. </w:t>
            </w:r>
          </w:p>
          <w:p w14:paraId="577A7C41" w14:textId="67DF7E5C" w:rsidR="00EA649E" w:rsidRPr="00EA649E" w:rsidRDefault="00EA649E" w:rsidP="00EA649E">
            <w:pPr>
              <w:pStyle w:val="Odstavecseseznamem"/>
              <w:numPr>
                <w:ilvl w:val="0"/>
                <w:numId w:val="25"/>
              </w:numPr>
              <w:spacing w:after="12" w:line="240" w:lineRule="auto"/>
              <w:rPr>
                <w:rFonts w:ascii="Calibri" w:hAnsi="Calibri" w:cs="Arial"/>
                <w:sz w:val="24"/>
                <w:szCs w:val="24"/>
                <w:lang w:eastAsia="cs-CZ"/>
              </w:rPr>
            </w:pPr>
            <w:r w:rsidRPr="00EA649E">
              <w:rPr>
                <w:rFonts w:ascii="Calibri" w:hAnsi="Calibri" w:cs="Arial"/>
                <w:sz w:val="24"/>
                <w:szCs w:val="24"/>
                <w:lang w:eastAsia="cs-CZ"/>
              </w:rPr>
              <w:t>Regionální podpora na výzkumnou infrastrukturu je poskytována pouze tehdy, je-li podmíněna poskytnutím transparentního a nediskriminačního přístupu k podporované infrastruktuře. </w:t>
            </w:r>
          </w:p>
          <w:p w14:paraId="10FDBDD5" w14:textId="3478CF4A" w:rsidR="00EA649E" w:rsidRPr="00485800" w:rsidRDefault="00EA649E" w:rsidP="00623952">
            <w:pPr>
              <w:pStyle w:val="p1"/>
              <w:numPr>
                <w:ilvl w:val="0"/>
                <w:numId w:val="25"/>
              </w:numPr>
              <w:rPr>
                <w:rFonts w:ascii="Calibri" w:hAnsi="Calibri"/>
                <w:sz w:val="24"/>
                <w:szCs w:val="24"/>
              </w:rPr>
            </w:pPr>
            <w:r w:rsidRPr="00485800">
              <w:rPr>
                <w:rFonts w:ascii="Calibri" w:hAnsi="Calibri"/>
                <w:sz w:val="24"/>
                <w:szCs w:val="24"/>
              </w:rPr>
              <w:t xml:space="preserve">Příjemce v čestném prohlášení potvrdí, že neprovedl </w:t>
            </w:r>
            <w:proofErr w:type="gramStart"/>
            <w:r w:rsidRPr="00485800">
              <w:rPr>
                <w:rFonts w:ascii="Calibri" w:hAnsi="Calibri"/>
                <w:sz w:val="24"/>
                <w:szCs w:val="24"/>
              </w:rPr>
              <w:t>přemístění</w:t>
            </w:r>
            <w:r w:rsidR="00485800" w:rsidRPr="00485800">
              <w:rPr>
                <w:rFonts w:ascii="Calibri" w:hAnsi="Calibri"/>
                <w:sz w:val="24"/>
                <w:szCs w:val="24"/>
              </w:rPr>
              <w:t xml:space="preserve"> </w:t>
            </w:r>
            <w:r w:rsidRPr="00485800">
              <w:rPr>
                <w:rFonts w:ascii="Calibri" w:hAnsi="Calibri"/>
                <w:sz w:val="24"/>
                <w:szCs w:val="24"/>
              </w:rPr>
              <w:t xml:space="preserve"> do</w:t>
            </w:r>
            <w:proofErr w:type="gramEnd"/>
            <w:r w:rsidRPr="00485800">
              <w:rPr>
                <w:rFonts w:ascii="Calibri" w:hAnsi="Calibri"/>
                <w:sz w:val="24"/>
                <w:szCs w:val="24"/>
              </w:rPr>
              <w:t xml:space="preserve"> provozovny, do které se má počáteční investice, na niž se </w:t>
            </w:r>
            <w:r w:rsidR="00485800" w:rsidRPr="00485800">
              <w:rPr>
                <w:rFonts w:ascii="Calibri" w:hAnsi="Calibri"/>
                <w:sz w:val="24"/>
                <w:szCs w:val="24"/>
              </w:rPr>
              <w:t>dotace</w:t>
            </w:r>
            <w:r w:rsidRPr="00485800">
              <w:rPr>
                <w:rFonts w:ascii="Calibri" w:hAnsi="Calibri"/>
                <w:sz w:val="24"/>
                <w:szCs w:val="24"/>
              </w:rPr>
              <w:t xml:space="preserve"> požaduje, uskutečnit, během </w:t>
            </w:r>
            <w:r w:rsidR="00655E56" w:rsidRPr="00485800">
              <w:rPr>
                <w:rFonts w:ascii="Calibri" w:hAnsi="Calibri"/>
                <w:sz w:val="24"/>
                <w:szCs w:val="24"/>
              </w:rPr>
              <w:t xml:space="preserve">dvou let předcházejících </w:t>
            </w:r>
            <w:r w:rsidR="00485800" w:rsidRPr="00485800">
              <w:rPr>
                <w:rFonts w:ascii="Calibri" w:hAnsi="Calibri"/>
                <w:sz w:val="24"/>
                <w:szCs w:val="24"/>
              </w:rPr>
              <w:t>Ž</w:t>
            </w:r>
            <w:r w:rsidR="00655E56" w:rsidRPr="00485800">
              <w:rPr>
                <w:rFonts w:ascii="Calibri" w:hAnsi="Calibri"/>
                <w:sz w:val="24"/>
                <w:szCs w:val="24"/>
              </w:rPr>
              <w:t xml:space="preserve">ádosti o </w:t>
            </w:r>
            <w:r w:rsidR="00485800" w:rsidRPr="00485800">
              <w:rPr>
                <w:rFonts w:ascii="Calibri" w:hAnsi="Calibri"/>
                <w:sz w:val="24"/>
                <w:szCs w:val="24"/>
              </w:rPr>
              <w:t>dotaci</w:t>
            </w:r>
            <w:r w:rsidR="00655E56" w:rsidRPr="00485800">
              <w:rPr>
                <w:rFonts w:ascii="Calibri" w:hAnsi="Calibri"/>
                <w:sz w:val="24"/>
                <w:szCs w:val="24"/>
              </w:rPr>
              <w:t xml:space="preserve">, a zaváže se, že tak neučiní až do doby dvou let po dokončení počáteční investice, na niž se </w:t>
            </w:r>
            <w:r w:rsidR="00485800" w:rsidRPr="00485800">
              <w:rPr>
                <w:rFonts w:ascii="Calibri" w:hAnsi="Calibri"/>
                <w:sz w:val="24"/>
                <w:szCs w:val="24"/>
              </w:rPr>
              <w:t xml:space="preserve">dotace </w:t>
            </w:r>
            <w:r w:rsidR="00655E56" w:rsidRPr="00485800">
              <w:rPr>
                <w:rFonts w:ascii="Calibri" w:hAnsi="Calibri"/>
                <w:sz w:val="24"/>
                <w:szCs w:val="24"/>
              </w:rPr>
              <w:t>požaduje.</w:t>
            </w:r>
            <w:r w:rsidR="00655E56" w:rsidRPr="00485800">
              <w:rPr>
                <w:rStyle w:val="apple-converted-space"/>
                <w:rFonts w:ascii="Calibri" w:hAnsi="Calibri"/>
                <w:sz w:val="24"/>
                <w:szCs w:val="24"/>
              </w:rPr>
              <w:t> </w:t>
            </w:r>
            <w:r w:rsidR="00485800" w:rsidRPr="00485800">
              <w:rPr>
                <w:rStyle w:val="apple-converted-space"/>
                <w:rFonts w:ascii="Calibri" w:hAnsi="Calibri"/>
                <w:sz w:val="24"/>
                <w:szCs w:val="24"/>
              </w:rPr>
              <w:t>(</w:t>
            </w:r>
          </w:p>
          <w:p w14:paraId="719613EF" w14:textId="231A69C2" w:rsidR="00EA649E" w:rsidRPr="00EA649E" w:rsidRDefault="00EA649E" w:rsidP="00655E56">
            <w:pPr>
              <w:pStyle w:val="Odstavecseseznamem"/>
              <w:spacing w:after="0" w:line="240" w:lineRule="auto"/>
              <w:rPr>
                <w:rFonts w:ascii="Calibri" w:hAnsi="Calibri" w:cs="Arial"/>
                <w:sz w:val="24"/>
                <w:szCs w:val="24"/>
                <w:lang w:eastAsia="cs-CZ"/>
              </w:rPr>
            </w:pPr>
          </w:p>
          <w:p w14:paraId="09272BF0" w14:textId="53E4A771" w:rsidR="00EA649E" w:rsidRPr="00EA649E" w:rsidRDefault="00EA649E" w:rsidP="00993376">
            <w:pPr>
              <w:pStyle w:val="p2"/>
              <w:rPr>
                <w:rFonts w:ascii="Calibri" w:hAnsi="Calibri"/>
                <w:sz w:val="24"/>
                <w:szCs w:val="24"/>
              </w:rPr>
            </w:pPr>
          </w:p>
        </w:tc>
      </w:tr>
      <w:tr w:rsidR="004879CC" w:rsidRPr="005B3093" w14:paraId="05D7C265" w14:textId="77777777" w:rsidTr="0039471E">
        <w:trPr>
          <w:trHeight w:val="420"/>
        </w:trPr>
        <w:tc>
          <w:tcPr>
            <w:tcW w:w="3251" w:type="dxa"/>
            <w:tcBorders>
              <w:top w:val="single" w:sz="4" w:space="0" w:color="auto"/>
              <w:left w:val="single" w:sz="4" w:space="0" w:color="auto"/>
              <w:bottom w:val="single" w:sz="4" w:space="0" w:color="auto"/>
              <w:right w:val="single" w:sz="4" w:space="0" w:color="auto"/>
            </w:tcBorders>
            <w:shd w:val="clear" w:color="000000" w:fill="DDEBF7"/>
            <w:vAlign w:val="center"/>
          </w:tcPr>
          <w:p w14:paraId="6408B682" w14:textId="77777777" w:rsidR="004879CC" w:rsidRDefault="004879CC" w:rsidP="004879CC">
            <w:pPr>
              <w:jc w:val="center"/>
              <w:rPr>
                <w:rFonts w:ascii="Calibri" w:eastAsia="Times New Roman" w:hAnsi="Calibri" w:cs="Calibri"/>
                <w:b/>
                <w:bCs/>
                <w:color w:val="000000"/>
                <w:sz w:val="24"/>
                <w:szCs w:val="32"/>
                <w:lang w:eastAsia="cs-CZ"/>
              </w:rPr>
            </w:pPr>
            <w:r>
              <w:rPr>
                <w:rFonts w:ascii="Calibri" w:eastAsia="Times New Roman" w:hAnsi="Calibri" w:cs="Calibri"/>
                <w:b/>
                <w:bCs/>
                <w:color w:val="000000"/>
                <w:sz w:val="24"/>
                <w:szCs w:val="32"/>
                <w:lang w:eastAsia="cs-CZ"/>
              </w:rPr>
              <w:lastRenderedPageBreak/>
              <w:t xml:space="preserve">Další podmínky pro režim de </w:t>
            </w:r>
            <w:proofErr w:type="spellStart"/>
            <w:r>
              <w:rPr>
                <w:rFonts w:ascii="Calibri" w:eastAsia="Times New Roman" w:hAnsi="Calibri" w:cs="Calibri"/>
                <w:b/>
                <w:bCs/>
                <w:color w:val="000000"/>
                <w:sz w:val="24"/>
                <w:szCs w:val="32"/>
                <w:lang w:eastAsia="cs-CZ"/>
              </w:rPr>
              <w:t>minimis</w:t>
            </w:r>
            <w:proofErr w:type="spellEnd"/>
          </w:p>
        </w:tc>
        <w:tc>
          <w:tcPr>
            <w:tcW w:w="6945" w:type="dxa"/>
            <w:tcBorders>
              <w:top w:val="single" w:sz="4" w:space="0" w:color="auto"/>
              <w:left w:val="single" w:sz="4" w:space="0" w:color="auto"/>
              <w:bottom w:val="single" w:sz="4" w:space="0" w:color="auto"/>
              <w:right w:val="single" w:sz="4" w:space="0" w:color="auto"/>
            </w:tcBorders>
            <w:shd w:val="clear" w:color="auto" w:fill="auto"/>
            <w:noWrap/>
          </w:tcPr>
          <w:p w14:paraId="3D4E747D" w14:textId="77777777" w:rsidR="004879CC" w:rsidRPr="006D5476" w:rsidRDefault="004879CC" w:rsidP="004879CC">
            <w:pPr>
              <w:pStyle w:val="Odstavecseseznamem"/>
              <w:numPr>
                <w:ilvl w:val="0"/>
                <w:numId w:val="13"/>
              </w:numPr>
              <w:rPr>
                <w:rFonts w:ascii="Calibri" w:hAnsi="Calibri"/>
                <w:color w:val="000000"/>
                <w:sz w:val="24"/>
              </w:rPr>
            </w:pPr>
            <w:r w:rsidRPr="004879CC">
              <w:rPr>
                <w:rFonts w:ascii="Calibri" w:hAnsi="Calibri"/>
                <w:color w:val="000000"/>
                <w:sz w:val="24"/>
              </w:rPr>
              <w:t xml:space="preserve">Celková výše podpory de </w:t>
            </w:r>
            <w:proofErr w:type="spellStart"/>
            <w:r w:rsidRPr="004879CC">
              <w:rPr>
                <w:rFonts w:ascii="Calibri" w:hAnsi="Calibri"/>
                <w:color w:val="000000"/>
                <w:sz w:val="24"/>
              </w:rPr>
              <w:t>minimis</w:t>
            </w:r>
            <w:proofErr w:type="spellEnd"/>
            <w:r w:rsidRPr="004879CC">
              <w:rPr>
                <w:rFonts w:ascii="Calibri" w:hAnsi="Calibri"/>
                <w:color w:val="000000"/>
                <w:sz w:val="24"/>
              </w:rPr>
              <w:t>, kterou členský</w:t>
            </w:r>
            <w:r>
              <w:rPr>
                <w:rFonts w:ascii="Calibri" w:hAnsi="Calibri"/>
                <w:color w:val="000000"/>
                <w:sz w:val="24"/>
              </w:rPr>
              <w:t xml:space="preserve"> stát poskytne jednomu podniku</w:t>
            </w:r>
            <w:r w:rsidRPr="004879CC">
              <w:rPr>
                <w:rFonts w:ascii="Calibri" w:hAnsi="Calibri"/>
                <w:color w:val="000000"/>
                <w:sz w:val="24"/>
              </w:rPr>
              <w:t>, nesmí za libovolná tři po sobě jdoucí jednoletá účetní období překročit 200 000 EUR.</w:t>
            </w:r>
          </w:p>
        </w:tc>
      </w:tr>
      <w:tr w:rsidR="006D5476" w:rsidRPr="005B3093" w14:paraId="5F8B9726" w14:textId="77777777" w:rsidTr="0039471E">
        <w:trPr>
          <w:trHeight w:val="420"/>
        </w:trPr>
        <w:tc>
          <w:tcPr>
            <w:tcW w:w="3251" w:type="dxa"/>
            <w:tcBorders>
              <w:top w:val="single" w:sz="4" w:space="0" w:color="auto"/>
              <w:left w:val="single" w:sz="4" w:space="0" w:color="auto"/>
              <w:bottom w:val="single" w:sz="4" w:space="0" w:color="auto"/>
              <w:right w:val="single" w:sz="4" w:space="0" w:color="auto"/>
            </w:tcBorders>
            <w:shd w:val="clear" w:color="000000" w:fill="DDEBF7"/>
            <w:vAlign w:val="center"/>
          </w:tcPr>
          <w:p w14:paraId="41494E25" w14:textId="77777777" w:rsidR="006D5476" w:rsidRPr="006D5476" w:rsidRDefault="006D5476" w:rsidP="006D5476">
            <w:pPr>
              <w:jc w:val="center"/>
              <w:rPr>
                <w:rFonts w:ascii="Calibri" w:hAnsi="Calibri"/>
                <w:b/>
                <w:bCs/>
                <w:color w:val="000000"/>
                <w:sz w:val="24"/>
                <w:szCs w:val="32"/>
              </w:rPr>
            </w:pPr>
            <w:r>
              <w:rPr>
                <w:rFonts w:ascii="Calibri" w:eastAsia="Times New Roman" w:hAnsi="Calibri" w:cs="Calibri"/>
                <w:b/>
                <w:bCs/>
                <w:color w:val="000000"/>
                <w:sz w:val="24"/>
                <w:szCs w:val="32"/>
                <w:lang w:eastAsia="cs-CZ"/>
              </w:rPr>
              <w:t>Kódy způsobilých výdajů (náklady zařazujete v žádosti o dotaci do těchto kódů)</w:t>
            </w:r>
          </w:p>
        </w:tc>
        <w:tc>
          <w:tcPr>
            <w:tcW w:w="6945" w:type="dxa"/>
            <w:tcBorders>
              <w:top w:val="single" w:sz="4" w:space="0" w:color="auto"/>
              <w:left w:val="single" w:sz="4" w:space="0" w:color="auto"/>
              <w:bottom w:val="single" w:sz="4" w:space="0" w:color="auto"/>
              <w:right w:val="single" w:sz="4" w:space="0" w:color="auto"/>
            </w:tcBorders>
            <w:shd w:val="clear" w:color="auto" w:fill="auto"/>
            <w:noWrap/>
          </w:tcPr>
          <w:p w14:paraId="3447B6C9" w14:textId="77777777" w:rsidR="006D5476" w:rsidRPr="006D5476" w:rsidRDefault="006D5476" w:rsidP="00644144">
            <w:pPr>
              <w:pStyle w:val="Odstavecseseznamem"/>
              <w:numPr>
                <w:ilvl w:val="0"/>
                <w:numId w:val="13"/>
              </w:numPr>
              <w:rPr>
                <w:rFonts w:ascii="Calibri" w:hAnsi="Calibri"/>
                <w:color w:val="000000"/>
                <w:sz w:val="24"/>
              </w:rPr>
            </w:pPr>
            <w:r w:rsidRPr="006D5476">
              <w:rPr>
                <w:rFonts w:ascii="Calibri" w:hAnsi="Calibri"/>
                <w:color w:val="000000"/>
                <w:sz w:val="24"/>
              </w:rPr>
              <w:t>017</w:t>
            </w:r>
            <w:r>
              <w:rPr>
                <w:rFonts w:ascii="Calibri" w:hAnsi="Calibri"/>
                <w:color w:val="000000"/>
                <w:sz w:val="24"/>
              </w:rPr>
              <w:t xml:space="preserve"> - </w:t>
            </w:r>
            <w:r w:rsidRPr="006D5476">
              <w:rPr>
                <w:rFonts w:ascii="Calibri" w:hAnsi="Calibri"/>
                <w:color w:val="000000"/>
                <w:sz w:val="24"/>
              </w:rPr>
              <w:t>Činnosti spadající do sekce C dle CZ NACE</w:t>
            </w:r>
          </w:p>
          <w:p w14:paraId="3E3C1297" w14:textId="77777777" w:rsidR="006D5476" w:rsidRPr="006D5476" w:rsidRDefault="006D5476" w:rsidP="00F336FB">
            <w:pPr>
              <w:pStyle w:val="Odstavecseseznamem"/>
              <w:numPr>
                <w:ilvl w:val="0"/>
                <w:numId w:val="13"/>
              </w:numPr>
              <w:rPr>
                <w:rFonts w:ascii="Calibri" w:hAnsi="Calibri"/>
                <w:color w:val="000000"/>
                <w:sz w:val="24"/>
              </w:rPr>
            </w:pPr>
            <w:r w:rsidRPr="006D5476">
              <w:rPr>
                <w:rFonts w:ascii="Calibri" w:hAnsi="Calibri"/>
                <w:color w:val="000000"/>
                <w:sz w:val="24"/>
              </w:rPr>
              <w:t>018</w:t>
            </w:r>
            <w:r>
              <w:rPr>
                <w:rFonts w:ascii="Calibri" w:hAnsi="Calibri"/>
                <w:color w:val="000000"/>
                <w:sz w:val="24"/>
              </w:rPr>
              <w:t xml:space="preserve"> - </w:t>
            </w:r>
            <w:r w:rsidRPr="006D5476">
              <w:rPr>
                <w:rFonts w:ascii="Calibri" w:hAnsi="Calibri"/>
                <w:color w:val="000000"/>
                <w:sz w:val="24"/>
              </w:rPr>
              <w:t>Činnosti spadající do sekce F dle CZ NACE</w:t>
            </w:r>
          </w:p>
          <w:p w14:paraId="21A1EEF8" w14:textId="77777777" w:rsidR="006D5476" w:rsidRPr="006D5476" w:rsidRDefault="006D5476" w:rsidP="0051506D">
            <w:pPr>
              <w:pStyle w:val="Odstavecseseznamem"/>
              <w:numPr>
                <w:ilvl w:val="0"/>
                <w:numId w:val="13"/>
              </w:numPr>
              <w:rPr>
                <w:rFonts w:ascii="Calibri" w:hAnsi="Calibri"/>
                <w:color w:val="000000"/>
                <w:sz w:val="24"/>
              </w:rPr>
            </w:pPr>
            <w:r w:rsidRPr="006D5476">
              <w:rPr>
                <w:rFonts w:ascii="Calibri" w:hAnsi="Calibri"/>
                <w:color w:val="000000"/>
                <w:sz w:val="24"/>
              </w:rPr>
              <w:t>019</w:t>
            </w:r>
            <w:r>
              <w:rPr>
                <w:rFonts w:ascii="Calibri" w:hAnsi="Calibri"/>
                <w:color w:val="000000"/>
                <w:sz w:val="24"/>
              </w:rPr>
              <w:t xml:space="preserve"> - </w:t>
            </w:r>
            <w:r w:rsidRPr="006D5476">
              <w:rPr>
                <w:rFonts w:ascii="Calibri" w:hAnsi="Calibri"/>
                <w:color w:val="000000"/>
                <w:sz w:val="24"/>
              </w:rPr>
              <w:t>Činnosti spadající do sekce G dle CZ NACE</w:t>
            </w:r>
          </w:p>
          <w:p w14:paraId="5C5957D7" w14:textId="77777777" w:rsidR="006D5476" w:rsidRPr="006D5476" w:rsidRDefault="006D5476" w:rsidP="004161BD">
            <w:pPr>
              <w:pStyle w:val="Odstavecseseznamem"/>
              <w:numPr>
                <w:ilvl w:val="0"/>
                <w:numId w:val="13"/>
              </w:numPr>
              <w:rPr>
                <w:rFonts w:ascii="Calibri" w:hAnsi="Calibri"/>
                <w:color w:val="000000"/>
                <w:sz w:val="24"/>
              </w:rPr>
            </w:pPr>
            <w:r w:rsidRPr="006D5476">
              <w:rPr>
                <w:rFonts w:ascii="Calibri" w:hAnsi="Calibri"/>
                <w:color w:val="000000"/>
                <w:sz w:val="24"/>
              </w:rPr>
              <w:t>020</w:t>
            </w:r>
            <w:r>
              <w:rPr>
                <w:rFonts w:ascii="Calibri" w:hAnsi="Calibri"/>
                <w:color w:val="000000"/>
                <w:sz w:val="24"/>
              </w:rPr>
              <w:t xml:space="preserve"> - </w:t>
            </w:r>
            <w:r w:rsidRPr="006D5476">
              <w:rPr>
                <w:rFonts w:ascii="Calibri" w:hAnsi="Calibri"/>
                <w:color w:val="000000"/>
                <w:sz w:val="24"/>
              </w:rPr>
              <w:t>Činnosti spadající do sekce I dle CZ NACE</w:t>
            </w:r>
          </w:p>
          <w:p w14:paraId="6A8BB256" w14:textId="77777777" w:rsidR="006D5476" w:rsidRPr="006D5476" w:rsidRDefault="006D5476" w:rsidP="00AD4166">
            <w:pPr>
              <w:pStyle w:val="Odstavecseseznamem"/>
              <w:numPr>
                <w:ilvl w:val="0"/>
                <w:numId w:val="13"/>
              </w:numPr>
              <w:rPr>
                <w:rFonts w:ascii="Calibri" w:hAnsi="Calibri"/>
                <w:color w:val="000000"/>
                <w:sz w:val="24"/>
              </w:rPr>
            </w:pPr>
            <w:r w:rsidRPr="006D5476">
              <w:rPr>
                <w:rFonts w:ascii="Calibri" w:hAnsi="Calibri"/>
                <w:color w:val="000000"/>
                <w:sz w:val="24"/>
              </w:rPr>
              <w:t>021</w:t>
            </w:r>
            <w:r>
              <w:rPr>
                <w:rFonts w:ascii="Calibri" w:hAnsi="Calibri"/>
                <w:color w:val="000000"/>
                <w:sz w:val="24"/>
              </w:rPr>
              <w:t xml:space="preserve"> - </w:t>
            </w:r>
            <w:r w:rsidRPr="006D5476">
              <w:rPr>
                <w:rFonts w:ascii="Calibri" w:hAnsi="Calibri"/>
                <w:color w:val="000000"/>
                <w:sz w:val="24"/>
              </w:rPr>
              <w:t>Činnosti spadající do sekce J dle CZ NACE</w:t>
            </w:r>
          </w:p>
          <w:p w14:paraId="0C458847" w14:textId="77777777" w:rsidR="006D5476" w:rsidRPr="006D5476" w:rsidRDefault="006D5476" w:rsidP="007072F6">
            <w:pPr>
              <w:pStyle w:val="Odstavecseseznamem"/>
              <w:numPr>
                <w:ilvl w:val="0"/>
                <w:numId w:val="13"/>
              </w:numPr>
              <w:rPr>
                <w:rFonts w:ascii="Calibri" w:hAnsi="Calibri"/>
                <w:color w:val="000000"/>
                <w:sz w:val="24"/>
              </w:rPr>
            </w:pPr>
            <w:r w:rsidRPr="006D5476">
              <w:rPr>
                <w:rFonts w:ascii="Calibri" w:hAnsi="Calibri"/>
                <w:color w:val="000000"/>
                <w:sz w:val="24"/>
              </w:rPr>
              <w:t>022</w:t>
            </w:r>
            <w:r>
              <w:rPr>
                <w:rFonts w:ascii="Calibri" w:hAnsi="Calibri"/>
                <w:color w:val="000000"/>
                <w:sz w:val="24"/>
              </w:rPr>
              <w:t xml:space="preserve"> - </w:t>
            </w:r>
            <w:r w:rsidRPr="006D5476">
              <w:rPr>
                <w:rFonts w:ascii="Calibri" w:hAnsi="Calibri"/>
                <w:color w:val="000000"/>
                <w:sz w:val="24"/>
              </w:rPr>
              <w:t>Činnosti spadající do sekce M dle CZ NACE</w:t>
            </w:r>
          </w:p>
          <w:p w14:paraId="6289C902" w14:textId="77777777" w:rsidR="006D5476" w:rsidRPr="006D5476" w:rsidRDefault="006D5476" w:rsidP="007B612B">
            <w:pPr>
              <w:pStyle w:val="Odstavecseseznamem"/>
              <w:numPr>
                <w:ilvl w:val="0"/>
                <w:numId w:val="13"/>
              </w:numPr>
              <w:rPr>
                <w:rFonts w:ascii="Calibri" w:hAnsi="Calibri"/>
                <w:color w:val="000000"/>
                <w:sz w:val="24"/>
              </w:rPr>
            </w:pPr>
            <w:r w:rsidRPr="006D5476">
              <w:rPr>
                <w:rFonts w:ascii="Calibri" w:hAnsi="Calibri"/>
                <w:color w:val="000000"/>
                <w:sz w:val="24"/>
              </w:rPr>
              <w:t>023</w:t>
            </w:r>
            <w:r>
              <w:rPr>
                <w:rFonts w:ascii="Calibri" w:hAnsi="Calibri"/>
                <w:color w:val="000000"/>
                <w:sz w:val="24"/>
              </w:rPr>
              <w:t xml:space="preserve"> - </w:t>
            </w:r>
            <w:r w:rsidRPr="006D5476">
              <w:rPr>
                <w:rFonts w:ascii="Calibri" w:hAnsi="Calibri"/>
                <w:color w:val="000000"/>
                <w:sz w:val="24"/>
              </w:rPr>
              <w:t>Činnosti spadající do sekce N dle CZ NACE</w:t>
            </w:r>
          </w:p>
          <w:p w14:paraId="5AF13AED" w14:textId="77777777" w:rsidR="006D5476" w:rsidRPr="006D5476" w:rsidRDefault="006D5476" w:rsidP="00916477">
            <w:pPr>
              <w:pStyle w:val="Odstavecseseznamem"/>
              <w:numPr>
                <w:ilvl w:val="0"/>
                <w:numId w:val="13"/>
              </w:numPr>
              <w:rPr>
                <w:rFonts w:ascii="Calibri" w:hAnsi="Calibri"/>
                <w:color w:val="000000"/>
                <w:sz w:val="24"/>
              </w:rPr>
            </w:pPr>
            <w:r w:rsidRPr="006D5476">
              <w:rPr>
                <w:rFonts w:ascii="Calibri" w:hAnsi="Calibri"/>
                <w:color w:val="000000"/>
                <w:sz w:val="24"/>
              </w:rPr>
              <w:t>024</w:t>
            </w:r>
            <w:r>
              <w:rPr>
                <w:rFonts w:ascii="Calibri" w:hAnsi="Calibri"/>
                <w:color w:val="000000"/>
                <w:sz w:val="24"/>
              </w:rPr>
              <w:t xml:space="preserve"> - </w:t>
            </w:r>
            <w:r w:rsidRPr="006D5476">
              <w:rPr>
                <w:rFonts w:ascii="Calibri" w:hAnsi="Calibri"/>
                <w:color w:val="000000"/>
                <w:sz w:val="24"/>
              </w:rPr>
              <w:t>Činnosti spadající do sekce P dle CZ NACE</w:t>
            </w:r>
          </w:p>
          <w:p w14:paraId="736E70D5" w14:textId="77777777" w:rsidR="006D5476" w:rsidRPr="006D5476" w:rsidRDefault="006D5476" w:rsidP="00852675">
            <w:pPr>
              <w:pStyle w:val="Odstavecseseznamem"/>
              <w:numPr>
                <w:ilvl w:val="0"/>
                <w:numId w:val="13"/>
              </w:numPr>
              <w:rPr>
                <w:rFonts w:ascii="Calibri" w:hAnsi="Calibri"/>
                <w:color w:val="000000"/>
                <w:sz w:val="24"/>
              </w:rPr>
            </w:pPr>
            <w:r w:rsidRPr="006D5476">
              <w:rPr>
                <w:rFonts w:ascii="Calibri" w:hAnsi="Calibri"/>
                <w:color w:val="000000"/>
                <w:sz w:val="24"/>
              </w:rPr>
              <w:t>025</w:t>
            </w:r>
            <w:r>
              <w:rPr>
                <w:rFonts w:ascii="Calibri" w:hAnsi="Calibri"/>
                <w:color w:val="000000"/>
                <w:sz w:val="24"/>
              </w:rPr>
              <w:t xml:space="preserve"> - </w:t>
            </w:r>
            <w:r w:rsidRPr="006D5476">
              <w:rPr>
                <w:rFonts w:ascii="Calibri" w:hAnsi="Calibri"/>
                <w:color w:val="000000"/>
                <w:sz w:val="24"/>
              </w:rPr>
              <w:t>Činnosti spadající do sekce R dle CZ NACE</w:t>
            </w:r>
          </w:p>
          <w:p w14:paraId="532E58A4" w14:textId="384FC130" w:rsidR="00485800" w:rsidRPr="00485800" w:rsidRDefault="006D5476" w:rsidP="00485800">
            <w:pPr>
              <w:pStyle w:val="Odstavecseseznamem"/>
              <w:numPr>
                <w:ilvl w:val="0"/>
                <w:numId w:val="13"/>
              </w:numPr>
              <w:rPr>
                <w:rFonts w:ascii="Calibri" w:hAnsi="Calibri"/>
                <w:color w:val="000000"/>
                <w:sz w:val="24"/>
              </w:rPr>
            </w:pPr>
            <w:r w:rsidRPr="006D5476">
              <w:rPr>
                <w:rFonts w:ascii="Calibri" w:hAnsi="Calibri"/>
                <w:color w:val="000000"/>
                <w:sz w:val="24"/>
              </w:rPr>
              <w:t>026</w:t>
            </w:r>
            <w:r>
              <w:rPr>
                <w:rFonts w:ascii="Calibri" w:hAnsi="Calibri"/>
                <w:color w:val="000000"/>
                <w:sz w:val="24"/>
              </w:rPr>
              <w:t xml:space="preserve"> - </w:t>
            </w:r>
            <w:r w:rsidRPr="006D5476">
              <w:rPr>
                <w:rFonts w:ascii="Calibri" w:hAnsi="Calibri"/>
                <w:color w:val="000000"/>
                <w:sz w:val="24"/>
              </w:rPr>
              <w:t>Činnosti spadající do sekce S dle CZ NACE</w:t>
            </w:r>
          </w:p>
          <w:p w14:paraId="6EEB9A4E" w14:textId="61902AE0" w:rsidR="00BE5D80" w:rsidRPr="006D5476" w:rsidRDefault="00BE5D80" w:rsidP="006D5476">
            <w:pPr>
              <w:pStyle w:val="Odstavecseseznamem"/>
              <w:numPr>
                <w:ilvl w:val="0"/>
                <w:numId w:val="13"/>
              </w:numPr>
              <w:rPr>
                <w:rFonts w:ascii="Calibri" w:hAnsi="Calibri"/>
                <w:color w:val="000000"/>
                <w:sz w:val="24"/>
              </w:rPr>
            </w:pPr>
            <w:r>
              <w:rPr>
                <w:rFonts w:ascii="Calibri" w:hAnsi="Calibri"/>
                <w:color w:val="000000"/>
                <w:sz w:val="24"/>
              </w:rPr>
              <w:t xml:space="preserve">041 – Nákup </w:t>
            </w:r>
            <w:r w:rsidR="006079C7">
              <w:rPr>
                <w:rFonts w:ascii="Calibri" w:hAnsi="Calibri"/>
                <w:color w:val="000000"/>
                <w:sz w:val="24"/>
              </w:rPr>
              <w:t>nemovi</w:t>
            </w:r>
            <w:r>
              <w:rPr>
                <w:rFonts w:ascii="Calibri" w:hAnsi="Calibri"/>
                <w:color w:val="000000"/>
                <w:sz w:val="24"/>
              </w:rPr>
              <w:t>tosti</w:t>
            </w:r>
          </w:p>
        </w:tc>
      </w:tr>
    </w:tbl>
    <w:p w14:paraId="09326D8A" w14:textId="77777777" w:rsidR="005B3093" w:rsidRDefault="005B3093" w:rsidP="00CF6D9B">
      <w:pPr>
        <w:rPr>
          <w:b/>
          <w:sz w:val="24"/>
          <w:u w:val="single"/>
        </w:rPr>
      </w:pPr>
    </w:p>
    <w:tbl>
      <w:tblPr>
        <w:tblStyle w:val="Jednoduchtabulka2"/>
        <w:tblW w:w="0" w:type="auto"/>
        <w:tblInd w:w="5" w:type="dxa"/>
        <w:tblLayout w:type="fixed"/>
        <w:tblLook w:val="0000" w:firstRow="0" w:lastRow="0" w:firstColumn="0" w:lastColumn="0" w:noHBand="0" w:noVBand="0"/>
      </w:tblPr>
      <w:tblGrid>
        <w:gridCol w:w="4400"/>
        <w:gridCol w:w="4400"/>
      </w:tblGrid>
      <w:tr w:rsidR="004879CC" w:rsidRPr="00D821F5" w14:paraId="3398035E" w14:textId="77777777" w:rsidTr="00DD3238">
        <w:trPr>
          <w:cnfStyle w:val="000000100000" w:firstRow="0" w:lastRow="0" w:firstColumn="0" w:lastColumn="0" w:oddVBand="0" w:evenVBand="0" w:oddHBand="1" w:evenHBand="0" w:firstRowFirstColumn="0" w:firstRowLastColumn="0" w:lastRowFirstColumn="0" w:lastRowLastColumn="0"/>
          <w:trHeight w:val="103"/>
        </w:trPr>
        <w:tc>
          <w:tcPr>
            <w:cnfStyle w:val="000010000000" w:firstRow="0" w:lastRow="0" w:firstColumn="0" w:lastColumn="0" w:oddVBand="1" w:evenVBand="0" w:oddHBand="0" w:evenHBand="0" w:firstRowFirstColumn="0" w:firstRowLastColumn="0" w:lastRowFirstColumn="0" w:lastRowLastColumn="0"/>
            <w:tcW w:w="8800" w:type="dxa"/>
            <w:gridSpan w:val="2"/>
            <w:shd w:val="clear" w:color="auto" w:fill="9CC2E5" w:themeFill="accent1" w:themeFillTint="99"/>
          </w:tcPr>
          <w:p w14:paraId="6EA10DB6" w14:textId="77777777" w:rsidR="004879CC" w:rsidRPr="00D821F5" w:rsidRDefault="004879CC" w:rsidP="00DD3238">
            <w:pPr>
              <w:pStyle w:val="Default"/>
              <w:rPr>
                <w:b/>
                <w:sz w:val="22"/>
                <w:szCs w:val="22"/>
              </w:rPr>
            </w:pPr>
            <w:r w:rsidRPr="00D821F5">
              <w:rPr>
                <w:b/>
                <w:sz w:val="22"/>
                <w:szCs w:val="22"/>
              </w:rPr>
              <w:t>LIMITY PRO VÝDAJE NA RŮZNÉ PODPOŘITELNÉ AKTIVITY</w:t>
            </w:r>
          </w:p>
        </w:tc>
      </w:tr>
      <w:tr w:rsidR="004879CC" w:rsidRPr="00B92966" w14:paraId="00929D0C" w14:textId="77777777" w:rsidTr="00DD3238">
        <w:trPr>
          <w:trHeight w:val="103"/>
        </w:trPr>
        <w:tc>
          <w:tcPr>
            <w:cnfStyle w:val="000010000000" w:firstRow="0" w:lastRow="0" w:firstColumn="0" w:lastColumn="0" w:oddVBand="1" w:evenVBand="0" w:oddHBand="0" w:evenHBand="0" w:firstRowFirstColumn="0" w:firstRowLastColumn="0" w:lastRowFirstColumn="0" w:lastRowLastColumn="0"/>
            <w:tcW w:w="4400" w:type="dxa"/>
          </w:tcPr>
          <w:p w14:paraId="69C5F78D" w14:textId="77777777" w:rsidR="004879CC" w:rsidRPr="00B92966" w:rsidRDefault="004879CC" w:rsidP="00DD3238">
            <w:pPr>
              <w:pStyle w:val="Default"/>
              <w:rPr>
                <w:sz w:val="22"/>
                <w:szCs w:val="22"/>
              </w:rPr>
            </w:pPr>
            <w:r w:rsidRPr="00B92966">
              <w:rPr>
                <w:b/>
                <w:bCs/>
                <w:sz w:val="22"/>
                <w:szCs w:val="22"/>
              </w:rPr>
              <w:t xml:space="preserve">Popis výdaje </w:t>
            </w:r>
          </w:p>
        </w:tc>
        <w:tc>
          <w:tcPr>
            <w:cnfStyle w:val="000001000000" w:firstRow="0" w:lastRow="0" w:firstColumn="0" w:lastColumn="0" w:oddVBand="0" w:evenVBand="1" w:oddHBand="0" w:evenHBand="0" w:firstRowFirstColumn="0" w:firstRowLastColumn="0" w:lastRowFirstColumn="0" w:lastRowLastColumn="0"/>
            <w:tcW w:w="4400" w:type="dxa"/>
          </w:tcPr>
          <w:p w14:paraId="6AB6C439" w14:textId="77777777" w:rsidR="004879CC" w:rsidRPr="00B92966" w:rsidRDefault="004879CC" w:rsidP="00DD3238">
            <w:pPr>
              <w:pStyle w:val="Default"/>
              <w:rPr>
                <w:sz w:val="22"/>
                <w:szCs w:val="22"/>
              </w:rPr>
            </w:pPr>
            <w:r w:rsidRPr="00B92966">
              <w:rPr>
                <w:b/>
                <w:bCs/>
                <w:sz w:val="22"/>
                <w:szCs w:val="22"/>
              </w:rPr>
              <w:t xml:space="preserve">Maximální hodnota </w:t>
            </w:r>
          </w:p>
        </w:tc>
      </w:tr>
      <w:tr w:rsidR="004879CC" w:rsidRPr="00B92966" w14:paraId="717E6E00" w14:textId="77777777" w:rsidTr="00DD3238">
        <w:trPr>
          <w:cnfStyle w:val="000000100000" w:firstRow="0" w:lastRow="0" w:firstColumn="0" w:lastColumn="0" w:oddVBand="0" w:evenVBand="0" w:oddHBand="1" w:evenHBand="0" w:firstRowFirstColumn="0" w:firstRowLastColumn="0" w:lastRowFirstColumn="0" w:lastRowLastColumn="0"/>
          <w:trHeight w:val="229"/>
        </w:trPr>
        <w:tc>
          <w:tcPr>
            <w:cnfStyle w:val="000010000000" w:firstRow="0" w:lastRow="0" w:firstColumn="0" w:lastColumn="0" w:oddVBand="1" w:evenVBand="0" w:oddHBand="0" w:evenHBand="0" w:firstRowFirstColumn="0" w:firstRowLastColumn="0" w:lastRowFirstColumn="0" w:lastRowLastColumn="0"/>
            <w:tcW w:w="4400" w:type="dxa"/>
          </w:tcPr>
          <w:p w14:paraId="139F7CC6" w14:textId="77777777" w:rsidR="004879CC" w:rsidRPr="00B92966" w:rsidRDefault="004879CC" w:rsidP="00DD3238">
            <w:pPr>
              <w:pStyle w:val="Default"/>
              <w:rPr>
                <w:sz w:val="22"/>
              </w:rPr>
            </w:pPr>
            <w:r w:rsidRPr="004879CC">
              <w:rPr>
                <w:sz w:val="22"/>
                <w:szCs w:val="22"/>
              </w:rPr>
              <w:t>Výdaje na nákup nemovitosti v souvislosti s projektem</w:t>
            </w:r>
          </w:p>
        </w:tc>
        <w:tc>
          <w:tcPr>
            <w:cnfStyle w:val="000001000000" w:firstRow="0" w:lastRow="0" w:firstColumn="0" w:lastColumn="0" w:oddVBand="0" w:evenVBand="1" w:oddHBand="0" w:evenHBand="0" w:firstRowFirstColumn="0" w:firstRowLastColumn="0" w:lastRowFirstColumn="0" w:lastRowLastColumn="0"/>
            <w:tcW w:w="4400" w:type="dxa"/>
          </w:tcPr>
          <w:p w14:paraId="6882803C" w14:textId="77777777" w:rsidR="004879CC" w:rsidRPr="00B92966" w:rsidRDefault="004879CC" w:rsidP="0075465B">
            <w:pPr>
              <w:pStyle w:val="Default"/>
              <w:rPr>
                <w:sz w:val="22"/>
                <w:szCs w:val="22"/>
              </w:rPr>
            </w:pPr>
            <w:r>
              <w:rPr>
                <w:sz w:val="22"/>
                <w:szCs w:val="22"/>
              </w:rPr>
              <w:t xml:space="preserve">maximálně 10 % celkové výše výdajů, ze kterých je stanovena dotace na daný projekt </w:t>
            </w:r>
          </w:p>
        </w:tc>
      </w:tr>
      <w:tr w:rsidR="004879CC" w:rsidRPr="00B92966" w14:paraId="010E3B1A" w14:textId="77777777" w:rsidTr="00DD3238">
        <w:trPr>
          <w:trHeight w:val="229"/>
        </w:trPr>
        <w:tc>
          <w:tcPr>
            <w:cnfStyle w:val="000010000000" w:firstRow="0" w:lastRow="0" w:firstColumn="0" w:lastColumn="0" w:oddVBand="1" w:evenVBand="0" w:oddHBand="0" w:evenHBand="0" w:firstRowFirstColumn="0" w:firstRowLastColumn="0" w:lastRowFirstColumn="0" w:lastRowLastColumn="0"/>
            <w:tcW w:w="4400" w:type="dxa"/>
          </w:tcPr>
          <w:p w14:paraId="1A4EE340" w14:textId="77777777" w:rsidR="0075465B" w:rsidRDefault="0075465B" w:rsidP="0075465B">
            <w:pPr>
              <w:pStyle w:val="Default"/>
            </w:pPr>
            <w:r>
              <w:rPr>
                <w:sz w:val="22"/>
                <w:szCs w:val="22"/>
              </w:rPr>
              <w:t xml:space="preserve">Motorová vozidla </w:t>
            </w:r>
          </w:p>
          <w:p w14:paraId="5F70BB6E" w14:textId="77777777" w:rsidR="004879CC" w:rsidRPr="00B92966" w:rsidRDefault="004879CC" w:rsidP="00DD3238">
            <w:pPr>
              <w:pStyle w:val="Default"/>
              <w:rPr>
                <w:sz w:val="22"/>
              </w:rPr>
            </w:pPr>
          </w:p>
        </w:tc>
        <w:tc>
          <w:tcPr>
            <w:cnfStyle w:val="000001000000" w:firstRow="0" w:lastRow="0" w:firstColumn="0" w:lastColumn="0" w:oddVBand="0" w:evenVBand="1" w:oddHBand="0" w:evenHBand="0" w:firstRowFirstColumn="0" w:firstRowLastColumn="0" w:lastRowFirstColumn="0" w:lastRowLastColumn="0"/>
            <w:tcW w:w="4400" w:type="dxa"/>
          </w:tcPr>
          <w:p w14:paraId="0B0B072E" w14:textId="44E077B7" w:rsidR="00AA4ACF" w:rsidRDefault="0075465B" w:rsidP="00D54386">
            <w:pPr>
              <w:pStyle w:val="Default"/>
              <w:rPr>
                <w:sz w:val="22"/>
                <w:szCs w:val="22"/>
              </w:rPr>
            </w:pPr>
            <w:r>
              <w:rPr>
                <w:sz w:val="22"/>
                <w:szCs w:val="22"/>
              </w:rPr>
              <w:t xml:space="preserve">dopravní prostředek, jehož největší </w:t>
            </w:r>
            <w:r w:rsidR="00D54386">
              <w:rPr>
                <w:sz w:val="22"/>
                <w:szCs w:val="22"/>
              </w:rPr>
              <w:t xml:space="preserve">technicky </w:t>
            </w:r>
            <w:r>
              <w:rPr>
                <w:sz w:val="22"/>
                <w:szCs w:val="22"/>
              </w:rPr>
              <w:t xml:space="preserve">přípustná hmotnost </w:t>
            </w:r>
          </w:p>
          <w:p w14:paraId="7643B199" w14:textId="06D28880" w:rsidR="00AA4ACF" w:rsidRDefault="0075465B" w:rsidP="00D54386">
            <w:pPr>
              <w:pStyle w:val="Default"/>
              <w:rPr>
                <w:sz w:val="22"/>
                <w:szCs w:val="22"/>
              </w:rPr>
            </w:pPr>
            <w:r>
              <w:rPr>
                <w:sz w:val="22"/>
                <w:szCs w:val="22"/>
              </w:rPr>
              <w:t>-</w:t>
            </w:r>
            <w:r w:rsidR="00D014A0">
              <w:rPr>
                <w:sz w:val="22"/>
                <w:szCs w:val="22"/>
              </w:rPr>
              <w:t xml:space="preserve"> </w:t>
            </w:r>
            <w:r>
              <w:rPr>
                <w:sz w:val="22"/>
                <w:szCs w:val="22"/>
              </w:rPr>
              <w:t xml:space="preserve">nepřevyšuje 3,5 t – </w:t>
            </w:r>
            <w:r w:rsidR="00AA4ACF">
              <w:rPr>
                <w:sz w:val="22"/>
                <w:szCs w:val="22"/>
              </w:rPr>
              <w:t>5</w:t>
            </w:r>
            <w:r>
              <w:rPr>
                <w:sz w:val="22"/>
                <w:szCs w:val="22"/>
              </w:rPr>
              <w:t>00 000,- Kč</w:t>
            </w:r>
          </w:p>
          <w:p w14:paraId="02D3591C" w14:textId="479762AB" w:rsidR="004879CC" w:rsidRPr="00B92966" w:rsidRDefault="004879CC" w:rsidP="00D54386">
            <w:pPr>
              <w:pStyle w:val="Default"/>
              <w:rPr>
                <w:sz w:val="22"/>
                <w:szCs w:val="22"/>
              </w:rPr>
            </w:pPr>
          </w:p>
        </w:tc>
      </w:tr>
    </w:tbl>
    <w:p w14:paraId="4BE38E1D" w14:textId="77777777" w:rsidR="004879CC" w:rsidRDefault="004879CC" w:rsidP="00CF6D9B">
      <w:pPr>
        <w:rPr>
          <w:b/>
          <w:sz w:val="24"/>
          <w:u w:val="single"/>
        </w:rPr>
      </w:pPr>
    </w:p>
    <w:p w14:paraId="73CFC3BA" w14:textId="77777777" w:rsidR="005B3093" w:rsidRDefault="005B3093" w:rsidP="00CF6D9B">
      <w:pPr>
        <w:rPr>
          <w:b/>
          <w:sz w:val="24"/>
          <w:u w:val="single"/>
        </w:rPr>
      </w:pPr>
    </w:p>
    <w:p w14:paraId="0494A492" w14:textId="77777777" w:rsidR="00CF6D9B" w:rsidRPr="0067010F" w:rsidRDefault="00CF6D9B" w:rsidP="00CF6D9B">
      <w:pPr>
        <w:rPr>
          <w:b/>
          <w:sz w:val="24"/>
          <w:u w:val="single"/>
        </w:rPr>
      </w:pPr>
      <w:r w:rsidRPr="0067010F">
        <w:rPr>
          <w:b/>
          <w:sz w:val="24"/>
          <w:u w:val="single"/>
        </w:rPr>
        <w:t>POVINNÉ PŘÍLOHY K ŽÁDOSTI O DOTACI</w:t>
      </w:r>
    </w:p>
    <w:p w14:paraId="2E70A614" w14:textId="31AEA27E" w:rsidR="004879CC" w:rsidRDefault="004879CC" w:rsidP="004879CC">
      <w:pPr>
        <w:pStyle w:val="Odstavecseseznamem"/>
        <w:numPr>
          <w:ilvl w:val="0"/>
          <w:numId w:val="7"/>
        </w:numPr>
        <w:rPr>
          <w:sz w:val="24"/>
        </w:rPr>
      </w:pPr>
      <w:r w:rsidRPr="004879CC">
        <w:rPr>
          <w:sz w:val="24"/>
        </w:rPr>
        <w:t>V případě, že se projekt týká činností R 93 nebo I 56 dle CZ NACE</w:t>
      </w:r>
      <w:r w:rsidR="00702047">
        <w:rPr>
          <w:sz w:val="24"/>
        </w:rPr>
        <w:t xml:space="preserve"> bez vazby na ubytovací kapacitu</w:t>
      </w:r>
      <w:r w:rsidRPr="004879CC">
        <w:rPr>
          <w:sz w:val="24"/>
        </w:rPr>
        <w:t xml:space="preserve">, doloží žadatel dokument prokazující, že v okruhu 10 km od místa realizace se nachází objekt venkovské turistiky s návštěvností min. 2000 osob/rok; </w:t>
      </w:r>
    </w:p>
    <w:p w14:paraId="139C9384" w14:textId="135B32A4" w:rsidR="00702047" w:rsidRPr="004879CC" w:rsidRDefault="00702047" w:rsidP="00702047">
      <w:pPr>
        <w:pStyle w:val="Odstavecseseznamem"/>
        <w:ind w:left="785"/>
        <w:rPr>
          <w:sz w:val="24"/>
        </w:rPr>
      </w:pPr>
      <w:r>
        <w:rPr>
          <w:sz w:val="24"/>
        </w:rPr>
        <w:t>v dokumentaci musí být uveden i popis způsobu výpočtu návštěvnosti, pokud způsob nevyplývá z charakteru dokumentu</w:t>
      </w:r>
    </w:p>
    <w:p w14:paraId="32A00BD5" w14:textId="77777777" w:rsidR="004879CC" w:rsidRPr="004879CC" w:rsidRDefault="004879CC" w:rsidP="004879CC">
      <w:pPr>
        <w:pStyle w:val="Odstavecseseznamem"/>
        <w:numPr>
          <w:ilvl w:val="0"/>
          <w:numId w:val="7"/>
        </w:numPr>
        <w:rPr>
          <w:sz w:val="24"/>
        </w:rPr>
      </w:pPr>
      <w:r w:rsidRPr="004879CC">
        <w:rPr>
          <w:sz w:val="24"/>
        </w:rPr>
        <w:t>V případě, že je dotace poskytována v režimu blokové výjimky na zásadní změnu výrobního postupu, pak Kartu majetku pro majetek užívaný při činnosti, jež má být modernizována – prostá kopie.</w:t>
      </w:r>
    </w:p>
    <w:p w14:paraId="4CD54DDA" w14:textId="13039AF3" w:rsidR="00D94840" w:rsidRPr="00D94840" w:rsidRDefault="004879CC" w:rsidP="00D94840">
      <w:pPr>
        <w:pStyle w:val="Odstavecseseznamem"/>
        <w:numPr>
          <w:ilvl w:val="0"/>
          <w:numId w:val="7"/>
        </w:numPr>
        <w:rPr>
          <w:sz w:val="24"/>
        </w:rPr>
      </w:pPr>
      <w:r w:rsidRPr="004879CC">
        <w:rPr>
          <w:sz w:val="24"/>
        </w:rPr>
        <w:t>V případě, že je dotace poskytována v režimu blokové výjimky na rozšíření výrobního sortimentu stávající provozovny, pak Kartu majetku znovupoužitého majetku – prostá kopie.</w:t>
      </w:r>
    </w:p>
    <w:p w14:paraId="2E189018" w14:textId="5B990B8B" w:rsidR="00D94840" w:rsidRPr="00D94840" w:rsidRDefault="00D94840" w:rsidP="00D94840">
      <w:pPr>
        <w:pStyle w:val="Odstavecseseznamem"/>
        <w:numPr>
          <w:ilvl w:val="0"/>
          <w:numId w:val="7"/>
        </w:numPr>
        <w:spacing w:after="11" w:line="240" w:lineRule="auto"/>
        <w:rPr>
          <w:rFonts w:ascii="Calibri" w:hAnsi="Calibri" w:cs="Arial"/>
          <w:sz w:val="24"/>
          <w:szCs w:val="24"/>
          <w:lang w:eastAsia="cs-CZ"/>
        </w:rPr>
      </w:pPr>
      <w:r w:rsidRPr="00D94840">
        <w:rPr>
          <w:rFonts w:ascii="Calibri" w:hAnsi="Calibri" w:cs="Arial"/>
          <w:sz w:val="24"/>
          <w:szCs w:val="24"/>
          <w:lang w:eastAsia="cs-CZ"/>
        </w:rPr>
        <w:t xml:space="preserve">V případě, že projekt/část projektu podléhá řízení stavebního úřadu, pak ke dni podání Žádosti o dotaci na MAS platný </w:t>
      </w:r>
      <w:r w:rsidR="00813B30">
        <w:rPr>
          <w:rFonts w:ascii="Calibri" w:hAnsi="Calibri" w:cs="Arial"/>
          <w:sz w:val="24"/>
          <w:szCs w:val="24"/>
          <w:lang w:eastAsia="cs-CZ"/>
        </w:rPr>
        <w:t>a nejpozději ke dni registrace na SZIF pravomocný (v případě veřejnoprávní smlouvy účinný</w:t>
      </w:r>
      <w:r w:rsidRPr="00D94840">
        <w:rPr>
          <w:rFonts w:ascii="Calibri" w:hAnsi="Calibri" w:cs="Arial"/>
          <w:sz w:val="24"/>
          <w:szCs w:val="24"/>
          <w:lang w:eastAsia="cs-CZ"/>
        </w:rPr>
        <w:t>) odpovídající správní akt stavebního úřadu (dle obecných podmínek Pravidel, kapitola 1. „Řízení stavebního úřadu“), na jehož základě lze projekt/část projektu realizovat – prostá kopie. </w:t>
      </w:r>
    </w:p>
    <w:p w14:paraId="7F5CB1C5" w14:textId="1307A3B0" w:rsidR="00D94840" w:rsidRPr="00D94840" w:rsidRDefault="00D94840" w:rsidP="00D94840">
      <w:pPr>
        <w:pStyle w:val="Odstavecseseznamem"/>
        <w:numPr>
          <w:ilvl w:val="0"/>
          <w:numId w:val="7"/>
        </w:numPr>
        <w:spacing w:after="0" w:line="240" w:lineRule="auto"/>
        <w:rPr>
          <w:rFonts w:ascii="Calibri" w:hAnsi="Calibri" w:cs="Arial"/>
          <w:sz w:val="24"/>
          <w:szCs w:val="24"/>
          <w:lang w:eastAsia="cs-CZ"/>
        </w:rPr>
      </w:pPr>
      <w:r w:rsidRPr="00D94840">
        <w:rPr>
          <w:rFonts w:ascii="Calibri" w:hAnsi="Calibri" w:cs="Arial"/>
          <w:sz w:val="24"/>
          <w:szCs w:val="24"/>
          <w:lang w:eastAsia="cs-CZ"/>
        </w:rPr>
        <w:t>V případě, že projekt/část projektu podléhá řízení stavebního úřadu, pak stavebním úřadem ověřená projektová dokumentace předkládaná k řízení stavebního úřadu v souladu se zákonem č. 183/2006 Sb., o územním plánování a stavebním řádu (stavební zákon), ve znění pozdějších předpisů, a příslušnými prováděcími předpisy – prostá kopie (lze předložit v listinné podobě)</w:t>
      </w:r>
    </w:p>
    <w:p w14:paraId="5AF14514" w14:textId="6CA06241" w:rsidR="00D94840" w:rsidRDefault="008251AF" w:rsidP="00D94840">
      <w:pPr>
        <w:pStyle w:val="Odstavecseseznamem"/>
        <w:numPr>
          <w:ilvl w:val="0"/>
          <w:numId w:val="7"/>
        </w:numPr>
        <w:spacing w:after="0" w:line="240" w:lineRule="auto"/>
        <w:rPr>
          <w:rFonts w:ascii="Calibri" w:hAnsi="Calibri" w:cs="Arial"/>
          <w:sz w:val="24"/>
          <w:szCs w:val="24"/>
          <w:lang w:eastAsia="cs-CZ"/>
        </w:rPr>
      </w:pPr>
      <w:r>
        <w:rPr>
          <w:rFonts w:ascii="Calibri" w:hAnsi="Calibri" w:cs="Arial"/>
          <w:sz w:val="24"/>
          <w:szCs w:val="24"/>
          <w:lang w:eastAsia="cs-CZ"/>
        </w:rPr>
        <w:t>V případě, že jsou realizovány stavební výdaje, pak půdorys stavby/půdorys dispozice technologie v odpovídajícím měřítku s vyznačením rozměrů stavby/technologie k projektu/části projektu, pokud není přílohou projektová dokumentace předkládána k řízení stavebního úřadu v souladu se zákonem č.183/2006 Sb. o územním plánování a stavebním řádu (stavební zákon), ve znění pozdějších předpisů, a příslušnými prováděcími předpisy – prostá kopie</w:t>
      </w:r>
      <w:r w:rsidR="00D94840" w:rsidRPr="00D94840">
        <w:rPr>
          <w:rFonts w:ascii="Calibri" w:hAnsi="Calibri" w:cs="Arial"/>
          <w:sz w:val="24"/>
          <w:szCs w:val="24"/>
          <w:lang w:eastAsia="cs-CZ"/>
        </w:rPr>
        <w:t>. </w:t>
      </w:r>
    </w:p>
    <w:p w14:paraId="5FE63A24" w14:textId="54222190" w:rsidR="008251AF" w:rsidRPr="00D94840" w:rsidRDefault="008251AF" w:rsidP="00D94840">
      <w:pPr>
        <w:pStyle w:val="Odstavecseseznamem"/>
        <w:numPr>
          <w:ilvl w:val="0"/>
          <w:numId w:val="7"/>
        </w:numPr>
        <w:spacing w:after="0" w:line="240" w:lineRule="auto"/>
        <w:rPr>
          <w:rFonts w:ascii="Calibri" w:hAnsi="Calibri" w:cs="Arial"/>
          <w:sz w:val="24"/>
          <w:szCs w:val="24"/>
          <w:lang w:eastAsia="cs-CZ"/>
        </w:rPr>
      </w:pPr>
      <w:r>
        <w:rPr>
          <w:rFonts w:ascii="Calibri" w:hAnsi="Calibri" w:cs="Arial"/>
          <w:sz w:val="24"/>
          <w:szCs w:val="24"/>
          <w:lang w:eastAsia="cs-CZ"/>
        </w:rPr>
        <w:t xml:space="preserve">V případě, že jsou realizovány stavební výdaje, pak katastrální mapa s vyznačením lokalizace předmětu projektu v odpovídajícím měřítku, ze které budou patrná čísla pozemků, hranice pozemků, název katastrálního území a měřítko mapy (není-li součástí projektové dokumentace) – prostá kopie. </w:t>
      </w:r>
    </w:p>
    <w:p w14:paraId="4C18631A" w14:textId="058A1B98" w:rsidR="00D94840" w:rsidRPr="00D94840" w:rsidRDefault="00D94840" w:rsidP="00D94840">
      <w:pPr>
        <w:pStyle w:val="Odstavecseseznamem"/>
        <w:numPr>
          <w:ilvl w:val="0"/>
          <w:numId w:val="7"/>
        </w:numPr>
        <w:spacing w:after="12" w:line="240" w:lineRule="auto"/>
        <w:rPr>
          <w:rFonts w:ascii="Calibri" w:hAnsi="Calibri" w:cs="Arial"/>
          <w:sz w:val="24"/>
          <w:szCs w:val="24"/>
          <w:lang w:eastAsia="cs-CZ"/>
        </w:rPr>
      </w:pPr>
      <w:r w:rsidRPr="00D94840">
        <w:rPr>
          <w:rFonts w:ascii="Calibri" w:hAnsi="Calibri" w:cs="Arial"/>
          <w:sz w:val="24"/>
          <w:szCs w:val="24"/>
          <w:lang w:eastAsia="cs-CZ"/>
        </w:rPr>
        <w:t>Formuláře</w:t>
      </w:r>
      <w:r>
        <w:rPr>
          <w:rFonts w:ascii="Calibri" w:hAnsi="Calibri" w:cs="Arial"/>
          <w:sz w:val="24"/>
          <w:szCs w:val="24"/>
          <w:lang w:eastAsia="cs-CZ"/>
        </w:rPr>
        <w:t xml:space="preserve"> </w:t>
      </w:r>
      <w:r w:rsidRPr="00D94840">
        <w:rPr>
          <w:rFonts w:ascii="Calibri" w:hAnsi="Calibri" w:cs="Arial"/>
          <w:sz w:val="24"/>
          <w:szCs w:val="24"/>
          <w:lang w:eastAsia="cs-CZ"/>
        </w:rPr>
        <w:t>pro posouzení finančního zdraví žadatele, u něhož je prokázání vyžadováno</w:t>
      </w:r>
      <w:r w:rsidR="008251AF">
        <w:rPr>
          <w:rFonts w:ascii="Calibri" w:hAnsi="Calibri" w:cs="Arial"/>
          <w:sz w:val="24"/>
          <w:szCs w:val="24"/>
          <w:lang w:eastAsia="cs-CZ"/>
        </w:rPr>
        <w:t xml:space="preserve"> – elektronické PDF formuláře jsou dokládány na SZIF prostřednictvím Portálu farmáře v sekci „Průřezové přílohy“.</w:t>
      </w:r>
    </w:p>
    <w:p w14:paraId="5E9EB648" w14:textId="7D792A2C" w:rsidR="00D94840" w:rsidRPr="00D94840" w:rsidRDefault="00D94840" w:rsidP="00D94840">
      <w:pPr>
        <w:pStyle w:val="Odstavecseseznamem"/>
        <w:numPr>
          <w:ilvl w:val="0"/>
          <w:numId w:val="7"/>
        </w:numPr>
        <w:spacing w:after="12" w:line="240" w:lineRule="auto"/>
        <w:rPr>
          <w:rFonts w:ascii="Calibri" w:hAnsi="Calibri" w:cs="Arial"/>
          <w:sz w:val="24"/>
          <w:szCs w:val="24"/>
          <w:lang w:eastAsia="cs-CZ"/>
        </w:rPr>
      </w:pPr>
      <w:r w:rsidRPr="00D94840">
        <w:rPr>
          <w:rFonts w:ascii="Calibri" w:hAnsi="Calibri" w:cs="Arial"/>
          <w:sz w:val="24"/>
          <w:szCs w:val="24"/>
          <w:lang w:eastAsia="cs-CZ"/>
        </w:rPr>
        <w:t xml:space="preserve">Pokud žadatel uplatňuje nárok na vyšší míru dotace (kromě </w:t>
      </w:r>
      <w:r w:rsidR="008251AF">
        <w:rPr>
          <w:rFonts w:ascii="Calibri" w:hAnsi="Calibri" w:cs="Arial"/>
          <w:sz w:val="24"/>
          <w:szCs w:val="24"/>
          <w:lang w:eastAsia="cs-CZ"/>
        </w:rPr>
        <w:t xml:space="preserve">ANC oblastí) </w:t>
      </w:r>
      <w:r w:rsidRPr="00D94840">
        <w:rPr>
          <w:rFonts w:ascii="Calibri" w:hAnsi="Calibri" w:cs="Arial"/>
          <w:sz w:val="24"/>
          <w:szCs w:val="24"/>
          <w:lang w:eastAsia="cs-CZ"/>
        </w:rPr>
        <w:t>nebo se jedná o žadatele, který musí pro splnění definice spadat do určité kategorie podniku podle velikosti</w:t>
      </w:r>
      <w:r w:rsidR="005D1F80">
        <w:rPr>
          <w:rFonts w:ascii="Calibri" w:hAnsi="Calibri" w:cs="Arial"/>
          <w:sz w:val="24"/>
          <w:szCs w:val="24"/>
          <w:lang w:eastAsia="cs-CZ"/>
        </w:rPr>
        <w:t xml:space="preserve"> </w:t>
      </w:r>
      <w:r w:rsidRPr="00D94840">
        <w:rPr>
          <w:rFonts w:ascii="Calibri" w:hAnsi="Calibri" w:cs="Arial"/>
          <w:sz w:val="24"/>
          <w:szCs w:val="24"/>
          <w:lang w:eastAsia="cs-CZ"/>
        </w:rPr>
        <w:t xml:space="preserve">– Prohlášení o zařazení podniku do kategorie </w:t>
      </w:r>
      <w:proofErr w:type="spellStart"/>
      <w:r w:rsidRPr="00D94840">
        <w:rPr>
          <w:rFonts w:ascii="Calibri" w:hAnsi="Calibri" w:cs="Arial"/>
          <w:sz w:val="24"/>
          <w:szCs w:val="24"/>
          <w:lang w:eastAsia="cs-CZ"/>
        </w:rPr>
        <w:t>mikropodniků</w:t>
      </w:r>
      <w:proofErr w:type="spellEnd"/>
      <w:r w:rsidRPr="00D94840">
        <w:rPr>
          <w:rFonts w:ascii="Calibri" w:hAnsi="Calibri" w:cs="Arial"/>
          <w:sz w:val="24"/>
          <w:szCs w:val="24"/>
          <w:lang w:eastAsia="cs-CZ"/>
        </w:rPr>
        <w:t xml:space="preserve">, malých </w:t>
      </w:r>
      <w:r w:rsidR="005D1F80">
        <w:rPr>
          <w:rFonts w:ascii="Calibri" w:hAnsi="Calibri" w:cs="Arial"/>
          <w:sz w:val="24"/>
          <w:szCs w:val="24"/>
          <w:lang w:eastAsia="cs-CZ"/>
        </w:rPr>
        <w:t xml:space="preserve">či </w:t>
      </w:r>
      <w:r w:rsidRPr="00D94840">
        <w:rPr>
          <w:rFonts w:ascii="Calibri" w:hAnsi="Calibri" w:cs="Arial"/>
          <w:sz w:val="24"/>
          <w:szCs w:val="24"/>
          <w:lang w:eastAsia="cs-CZ"/>
        </w:rPr>
        <w:t>středních podniků dle Přílohy 5 Pravide</w:t>
      </w:r>
      <w:r w:rsidR="005D1F80">
        <w:rPr>
          <w:rFonts w:ascii="Calibri" w:hAnsi="Calibri" w:cs="Arial"/>
          <w:sz w:val="24"/>
          <w:szCs w:val="24"/>
          <w:lang w:eastAsia="cs-CZ"/>
        </w:rPr>
        <w:t>l – elektronický PDF formulář je dokládán na SZIF prostřednictvím Portálu farmáře v sekci „Průřezové přílohy“.</w:t>
      </w:r>
    </w:p>
    <w:p w14:paraId="0A2E8D0A" w14:textId="2C53CECD" w:rsidR="00D94840" w:rsidRPr="005D1F80" w:rsidRDefault="00D94840" w:rsidP="00D94840">
      <w:pPr>
        <w:pStyle w:val="Odstavecseseznamem"/>
        <w:numPr>
          <w:ilvl w:val="0"/>
          <w:numId w:val="7"/>
        </w:numPr>
        <w:spacing w:after="0" w:line="240" w:lineRule="auto"/>
        <w:rPr>
          <w:rFonts w:ascii="Arial" w:hAnsi="Arial" w:cs="Arial"/>
          <w:sz w:val="17"/>
          <w:szCs w:val="17"/>
          <w:lang w:eastAsia="cs-CZ"/>
        </w:rPr>
      </w:pPr>
      <w:r w:rsidRPr="00D94840">
        <w:rPr>
          <w:rFonts w:ascii="Calibri" w:hAnsi="Calibri" w:cs="Arial"/>
          <w:sz w:val="24"/>
          <w:szCs w:val="24"/>
          <w:lang w:eastAsia="cs-CZ"/>
        </w:rPr>
        <w:t xml:space="preserve">V případě nákupu nemovitosti jako výdaje, ze kterého je stanovena dotace, znalecký posudek, ne starší než 6 měsíců před podáním Žádosti o dotaci na </w:t>
      </w:r>
      <w:proofErr w:type="gramStart"/>
      <w:r w:rsidRPr="00D94840">
        <w:rPr>
          <w:rFonts w:ascii="Calibri" w:hAnsi="Calibri" w:cs="Arial"/>
          <w:sz w:val="24"/>
          <w:szCs w:val="24"/>
          <w:lang w:eastAsia="cs-CZ"/>
        </w:rPr>
        <w:t>MAS - prostá</w:t>
      </w:r>
      <w:proofErr w:type="gramEnd"/>
      <w:r w:rsidRPr="00D94840">
        <w:rPr>
          <w:rFonts w:ascii="Calibri" w:hAnsi="Calibri" w:cs="Arial"/>
          <w:sz w:val="24"/>
          <w:szCs w:val="24"/>
          <w:lang w:eastAsia="cs-CZ"/>
        </w:rPr>
        <w:t xml:space="preserve"> </w:t>
      </w:r>
      <w:r>
        <w:rPr>
          <w:rFonts w:ascii="Calibri" w:hAnsi="Calibri" w:cs="Arial"/>
          <w:sz w:val="24"/>
          <w:szCs w:val="24"/>
          <w:lang w:eastAsia="cs-CZ"/>
        </w:rPr>
        <w:t>kopie</w:t>
      </w:r>
    </w:p>
    <w:p w14:paraId="263148D8" w14:textId="1397BCCB" w:rsidR="005D1F80" w:rsidRPr="00D94840" w:rsidRDefault="005D1F80" w:rsidP="00D94840">
      <w:pPr>
        <w:pStyle w:val="Odstavecseseznamem"/>
        <w:numPr>
          <w:ilvl w:val="0"/>
          <w:numId w:val="7"/>
        </w:numPr>
        <w:spacing w:after="0" w:line="240" w:lineRule="auto"/>
        <w:rPr>
          <w:rFonts w:ascii="Arial" w:hAnsi="Arial" w:cs="Arial"/>
          <w:sz w:val="17"/>
          <w:szCs w:val="17"/>
          <w:lang w:eastAsia="cs-CZ"/>
        </w:rPr>
      </w:pPr>
      <w:r>
        <w:rPr>
          <w:rFonts w:ascii="Calibri" w:hAnsi="Calibri" w:cs="Arial"/>
          <w:sz w:val="24"/>
          <w:szCs w:val="24"/>
          <w:lang w:eastAsia="cs-CZ"/>
        </w:rPr>
        <w:lastRenderedPageBreak/>
        <w:t>Fotodokumentace aktuálního stavu místa realizace projektu (nedokládá se u vzdělávání a v případě pořízení mobilních strojů).</w:t>
      </w:r>
    </w:p>
    <w:p w14:paraId="3A789FDF" w14:textId="5E804698" w:rsidR="00CF6D9B" w:rsidRPr="00A90AD0" w:rsidRDefault="005D1F80" w:rsidP="00CF6D9B">
      <w:pPr>
        <w:pStyle w:val="Odstavecseseznamem"/>
        <w:numPr>
          <w:ilvl w:val="0"/>
          <w:numId w:val="7"/>
        </w:numPr>
        <w:rPr>
          <w:sz w:val="24"/>
        </w:rPr>
      </w:pPr>
      <w:r>
        <w:rPr>
          <w:sz w:val="24"/>
        </w:rPr>
        <w:t>Přílohy stanovené MAS.</w:t>
      </w:r>
    </w:p>
    <w:p w14:paraId="409A0D52" w14:textId="77777777" w:rsidR="00052CDB" w:rsidRDefault="00052CDB"/>
    <w:p w14:paraId="70FDDE6C" w14:textId="507843AA" w:rsidR="00CF6D9B" w:rsidRDefault="00CF6D9B" w:rsidP="00CF6D9B">
      <w:pPr>
        <w:rPr>
          <w:b/>
          <w:sz w:val="24"/>
        </w:rPr>
      </w:pPr>
      <w:r>
        <w:rPr>
          <w:b/>
          <w:sz w:val="24"/>
          <w:u w:val="single"/>
        </w:rPr>
        <w:t xml:space="preserve">POVINNÉ PŘÍLOHY </w:t>
      </w:r>
      <w:r w:rsidR="00993E76">
        <w:rPr>
          <w:b/>
          <w:sz w:val="24"/>
          <w:u w:val="single"/>
        </w:rPr>
        <w:t>PŘEDKLÁDANÉ PO ZAREGISTOVÁNÍ ŽÁDOSTI O DOTACI</w:t>
      </w:r>
      <w:r>
        <w:rPr>
          <w:b/>
          <w:sz w:val="24"/>
          <w:u w:val="single"/>
        </w:rPr>
        <w:t xml:space="preserve"> </w:t>
      </w:r>
    </w:p>
    <w:p w14:paraId="4701256B" w14:textId="77FE195A" w:rsidR="00613E0C" w:rsidRDefault="00993E76" w:rsidP="00613E0C">
      <w:pPr>
        <w:pStyle w:val="p1"/>
        <w:numPr>
          <w:ilvl w:val="0"/>
          <w:numId w:val="28"/>
        </w:numPr>
        <w:rPr>
          <w:rStyle w:val="apple-converted-space"/>
          <w:rFonts w:ascii="Calibri" w:hAnsi="Calibri"/>
          <w:sz w:val="24"/>
          <w:szCs w:val="24"/>
        </w:rPr>
      </w:pPr>
      <w:r w:rsidRPr="00993E76">
        <w:rPr>
          <w:rFonts w:ascii="Calibri" w:hAnsi="Calibri"/>
          <w:sz w:val="24"/>
          <w:szCs w:val="24"/>
        </w:rPr>
        <w:t>V případě realizace výběrového/zadávacího řízení kompletní dokumentace k výběrovému/zadávacímu řízení včetně podepsané smlouvy s vítězným dodavatelem a dokladu o uveřejnění této smlouvy v registru smluv dle zákona č. 340/2015 Sb., o zvláštních podmínkách účinnosti některých smluv, uveřejňování těchto smluv a o registru smluv (zákon o registru smluv)</w:t>
      </w:r>
      <w:r w:rsidR="005D1F80">
        <w:rPr>
          <w:rFonts w:ascii="Calibri" w:hAnsi="Calibri"/>
          <w:sz w:val="24"/>
          <w:szCs w:val="24"/>
        </w:rPr>
        <w:t xml:space="preserve">, ve znění pozdějších předpisů, </w:t>
      </w:r>
      <w:r w:rsidRPr="00993E76">
        <w:rPr>
          <w:rFonts w:ascii="Calibri" w:hAnsi="Calibri"/>
          <w:sz w:val="24"/>
          <w:szCs w:val="24"/>
        </w:rPr>
        <w:t xml:space="preserve">v případě, že smlouva musí být dle zákona o registru smluv povinně uveřejněna. Podrobné informace </w:t>
      </w:r>
      <w:r w:rsidR="006837AB">
        <w:rPr>
          <w:rFonts w:ascii="Calibri" w:hAnsi="Calibri"/>
          <w:sz w:val="24"/>
          <w:szCs w:val="24"/>
        </w:rPr>
        <w:t>k cenovému marketingu/výběrovému/zadávacímu řízení j</w:t>
      </w:r>
      <w:r w:rsidRPr="00993E76">
        <w:rPr>
          <w:rFonts w:ascii="Calibri" w:hAnsi="Calibri"/>
          <w:sz w:val="24"/>
          <w:szCs w:val="24"/>
        </w:rPr>
        <w:t xml:space="preserve">sou uvedeny v kapitole 8 obecných podmínek Pravidel. Seznam dokumentace k výběrovému/zadávacímu řízení, je k dispozici na internetových stránkách </w:t>
      </w:r>
      <w:hyperlink r:id="rId8" w:history="1">
        <w:r w:rsidRPr="0053149D">
          <w:rPr>
            <w:rStyle w:val="Hypertextovodkaz"/>
            <w:rFonts w:ascii="Calibri" w:hAnsi="Calibri"/>
            <w:sz w:val="24"/>
            <w:szCs w:val="24"/>
          </w:rPr>
          <w:t>www.szif.cz</w:t>
        </w:r>
      </w:hyperlink>
      <w:r w:rsidRPr="00993E76">
        <w:rPr>
          <w:rFonts w:ascii="Calibri" w:hAnsi="Calibri"/>
          <w:sz w:val="24"/>
          <w:szCs w:val="24"/>
        </w:rPr>
        <w:t>.</w:t>
      </w:r>
      <w:r w:rsidRPr="00993E76">
        <w:rPr>
          <w:rStyle w:val="apple-converted-space"/>
          <w:rFonts w:ascii="Calibri" w:hAnsi="Calibri"/>
          <w:sz w:val="24"/>
          <w:szCs w:val="24"/>
        </w:rPr>
        <w:t> </w:t>
      </w:r>
    </w:p>
    <w:p w14:paraId="10C291D0" w14:textId="7EEA6314" w:rsidR="00CF6D9B" w:rsidRPr="00993E76" w:rsidRDefault="00993E76" w:rsidP="006837AB">
      <w:pPr>
        <w:pStyle w:val="p1"/>
        <w:ind w:left="720"/>
        <w:rPr>
          <w:rFonts w:ascii="Calibri" w:hAnsi="Calibri"/>
          <w:sz w:val="24"/>
          <w:szCs w:val="24"/>
        </w:rPr>
      </w:pPr>
      <w:r w:rsidRPr="00993E76">
        <w:rPr>
          <w:rFonts w:ascii="Calibri" w:hAnsi="Calibri"/>
          <w:sz w:val="24"/>
          <w:szCs w:val="24"/>
        </w:rPr>
        <w:t>V listinné podobě lze předložit: nabídky uchazečů, projektová/technická dokumentace k zadávací dokumentaci, slepý položkový rozpočet.</w:t>
      </w:r>
      <w:r w:rsidRPr="00993E76">
        <w:rPr>
          <w:rStyle w:val="apple-converted-space"/>
          <w:rFonts w:ascii="Calibri" w:hAnsi="Calibri"/>
          <w:sz w:val="24"/>
          <w:szCs w:val="24"/>
        </w:rPr>
        <w:t> </w:t>
      </w:r>
      <w:r w:rsidR="006837AB" w:rsidRPr="00993E76">
        <w:rPr>
          <w:sz w:val="24"/>
        </w:rPr>
        <w:t xml:space="preserve"> </w:t>
      </w:r>
    </w:p>
    <w:p w14:paraId="1360975B" w14:textId="3ECB3597" w:rsidR="00CF6D9B" w:rsidRDefault="006837AB" w:rsidP="006837AB">
      <w:pPr>
        <w:pStyle w:val="Odstavecseseznamem"/>
        <w:numPr>
          <w:ilvl w:val="0"/>
          <w:numId w:val="28"/>
        </w:numPr>
      </w:pPr>
      <w:r>
        <w:t xml:space="preserve">Cenový marketing či vyhodnocení z elektronického tržiště v případě, že se jedná o zakázku, jejíž předpokládaná hodnota je rovna nebo vyšší než 500 000 Kč bez DPH a zároveň je rovna nebo nižší než 2 000 000 Kč bez DPH v případě zakázky na dodávky a/nebo služby nebo 6 000 000 Kč bez DPH v případě zakázky na stavební práce; včetně písemné smlouvy s vybraným dodavatelem, nabídkových a pokud byly vyhotoveny, tak i poptávkových podkladů pro tabulku cenového marketingu – prostá kopie. </w:t>
      </w:r>
    </w:p>
    <w:p w14:paraId="14D3B69A" w14:textId="27DF0D75" w:rsidR="006837AB" w:rsidRDefault="006837AB" w:rsidP="006837AB">
      <w:pPr>
        <w:pStyle w:val="Odstavecseseznamem"/>
        <w:numPr>
          <w:ilvl w:val="0"/>
          <w:numId w:val="28"/>
        </w:numPr>
      </w:pPr>
      <w:r>
        <w:t xml:space="preserve">Formulář Žádosti o dotaci aktualizovaný dle výsledku výběrového/zadávacího řízení. </w:t>
      </w:r>
    </w:p>
    <w:p w14:paraId="33140D42" w14:textId="77777777" w:rsidR="006837AB" w:rsidRDefault="006837AB" w:rsidP="00047839">
      <w:pPr>
        <w:ind w:left="360"/>
      </w:pPr>
    </w:p>
    <w:p w14:paraId="7B9B39C6" w14:textId="77777777" w:rsidR="00CF6D9B" w:rsidRDefault="00CF6D9B" w:rsidP="00CF6D9B">
      <w:pPr>
        <w:rPr>
          <w:b/>
          <w:sz w:val="24"/>
        </w:rPr>
      </w:pPr>
      <w:r>
        <w:rPr>
          <w:b/>
          <w:sz w:val="24"/>
          <w:u w:val="single"/>
        </w:rPr>
        <w:t>POVINNÉ PŘÍLOHY PŘI PODPISU DOHODY</w:t>
      </w:r>
      <w:r>
        <w:rPr>
          <w:b/>
          <w:sz w:val="24"/>
        </w:rPr>
        <w:t xml:space="preserve"> </w:t>
      </w:r>
    </w:p>
    <w:p w14:paraId="0D045838" w14:textId="0972B82B" w:rsidR="00CF6D9B" w:rsidRDefault="00CF6D9B" w:rsidP="00CF6D9B">
      <w:pPr>
        <w:pStyle w:val="Odstavecseseznamem"/>
        <w:numPr>
          <w:ilvl w:val="0"/>
          <w:numId w:val="6"/>
        </w:numPr>
        <w:rPr>
          <w:sz w:val="24"/>
        </w:rPr>
      </w:pPr>
      <w:r w:rsidRPr="00AB2942">
        <w:rPr>
          <w:sz w:val="24"/>
        </w:rPr>
        <w:t xml:space="preserve">Potvrzení finančního úřadu o bezdlužnosti, popř. povolení k posečkání úhrady daně nebo rozložení úhrady daně do splátek. Datum tohoto potvrzení nesmí být starší než datum podání Žádosti o dotaci </w:t>
      </w:r>
      <w:r w:rsidR="006837AB">
        <w:rPr>
          <w:sz w:val="24"/>
        </w:rPr>
        <w:t xml:space="preserve">na MAS </w:t>
      </w:r>
      <w:r w:rsidRPr="00AB2942">
        <w:rPr>
          <w:sz w:val="24"/>
        </w:rPr>
        <w:t>– prostá kopie.</w:t>
      </w:r>
    </w:p>
    <w:p w14:paraId="21B26949" w14:textId="752FCD54" w:rsidR="00CF6D9B" w:rsidRPr="00047839" w:rsidRDefault="00CF6D9B" w:rsidP="00AD6810">
      <w:pPr>
        <w:pStyle w:val="Odstavecseseznamem"/>
        <w:numPr>
          <w:ilvl w:val="0"/>
          <w:numId w:val="6"/>
        </w:numPr>
      </w:pPr>
      <w:r w:rsidRPr="00047839">
        <w:rPr>
          <w:sz w:val="24"/>
        </w:rPr>
        <w:t xml:space="preserve">V případě, že je podpora poskytována v režimu de </w:t>
      </w:r>
      <w:proofErr w:type="spellStart"/>
      <w:r w:rsidRPr="00047839">
        <w:rPr>
          <w:sz w:val="24"/>
        </w:rPr>
        <w:t>minimis</w:t>
      </w:r>
      <w:proofErr w:type="spellEnd"/>
      <w:r w:rsidRPr="00047839">
        <w:rPr>
          <w:sz w:val="24"/>
        </w:rPr>
        <w:t xml:space="preserve">, vyplněné Čestné prohlášení k de </w:t>
      </w:r>
      <w:proofErr w:type="spellStart"/>
      <w:r w:rsidRPr="00047839">
        <w:rPr>
          <w:sz w:val="24"/>
        </w:rPr>
        <w:t>minimi</w:t>
      </w:r>
      <w:r w:rsidR="00047839">
        <w:rPr>
          <w:sz w:val="24"/>
        </w:rPr>
        <w:t>s</w:t>
      </w:r>
      <w:proofErr w:type="spellEnd"/>
      <w:r w:rsidR="00047839">
        <w:rPr>
          <w:sz w:val="24"/>
        </w:rPr>
        <w:t xml:space="preserve"> dle vzoru v Příloze 17 Pravidel – elektronický PDF formulář je dokládán na SZIF prostřednictvím Portálu farmáře v sekci „Průřezové přílohy“. </w:t>
      </w:r>
    </w:p>
    <w:p w14:paraId="45E508F9" w14:textId="5AA5CF5E" w:rsidR="00047839" w:rsidRDefault="00047839" w:rsidP="00AD6810">
      <w:pPr>
        <w:pStyle w:val="Odstavecseseznamem"/>
        <w:numPr>
          <w:ilvl w:val="0"/>
          <w:numId w:val="6"/>
        </w:numPr>
      </w:pPr>
      <w:r>
        <w:rPr>
          <w:sz w:val="24"/>
        </w:rPr>
        <w:t xml:space="preserve">Pokud žadatel uplatňuje nárok na vyšší míru dotace (kromě ANC oblastí) nebo se jedná o žadatele, který musí pro splnění definice spadat do určité kategorie podniku podle velikosti – Prohlášení o zařazení podniku do kategorie </w:t>
      </w:r>
      <w:proofErr w:type="spellStart"/>
      <w:r>
        <w:rPr>
          <w:sz w:val="24"/>
        </w:rPr>
        <w:t>mikropodniků</w:t>
      </w:r>
      <w:proofErr w:type="spellEnd"/>
      <w:r>
        <w:rPr>
          <w:sz w:val="24"/>
        </w:rPr>
        <w:t>, malých či středních podniků dle vzoru v Příloze 5 Pravidel – elektronický PDF formulář je dokládán na SZIF prostřednictvím Portálu farmáře v sekci „Průřezové přílohy“ (pouze v případě, že mezi Žádostí o dotaci a Dohodou bylo uzavřeno další účetní období či došlo ke změně vlastnické struktury podniku).</w:t>
      </w:r>
    </w:p>
    <w:p w14:paraId="2E1A5390" w14:textId="77777777" w:rsidR="00BE303C" w:rsidRDefault="00BE303C" w:rsidP="00CF6D9B">
      <w:pPr>
        <w:rPr>
          <w:b/>
          <w:sz w:val="24"/>
          <w:u w:val="single"/>
        </w:rPr>
      </w:pPr>
    </w:p>
    <w:p w14:paraId="547DEC49" w14:textId="77777777" w:rsidR="00CF6D9B" w:rsidRDefault="00CF6D9B" w:rsidP="00CF6D9B">
      <w:pPr>
        <w:rPr>
          <w:b/>
          <w:sz w:val="24"/>
        </w:rPr>
      </w:pPr>
      <w:r>
        <w:rPr>
          <w:b/>
          <w:sz w:val="24"/>
          <w:u w:val="single"/>
        </w:rPr>
        <w:t xml:space="preserve">POVINNÉ PŘÍLOHY K </w:t>
      </w:r>
      <w:r w:rsidRPr="00A90AD0">
        <w:rPr>
          <w:b/>
          <w:sz w:val="24"/>
          <w:u w:val="single"/>
        </w:rPr>
        <w:t>ŽÁDOST</w:t>
      </w:r>
      <w:r>
        <w:rPr>
          <w:b/>
          <w:sz w:val="24"/>
          <w:u w:val="single"/>
        </w:rPr>
        <w:t>I</w:t>
      </w:r>
      <w:r w:rsidRPr="00A90AD0">
        <w:rPr>
          <w:b/>
          <w:sz w:val="24"/>
          <w:u w:val="single"/>
        </w:rPr>
        <w:t xml:space="preserve"> O </w:t>
      </w:r>
      <w:r>
        <w:rPr>
          <w:b/>
          <w:sz w:val="24"/>
          <w:u w:val="single"/>
        </w:rPr>
        <w:t>PLATBU</w:t>
      </w:r>
      <w:r>
        <w:rPr>
          <w:b/>
          <w:sz w:val="24"/>
        </w:rPr>
        <w:t xml:space="preserve"> </w:t>
      </w:r>
    </w:p>
    <w:p w14:paraId="2475C5C7" w14:textId="4B9CA3AC" w:rsidR="00713406" w:rsidRDefault="00BE303C" w:rsidP="00713406">
      <w:pPr>
        <w:pStyle w:val="Odstavecseseznamem"/>
        <w:numPr>
          <w:ilvl w:val="0"/>
          <w:numId w:val="3"/>
        </w:numPr>
        <w:rPr>
          <w:sz w:val="24"/>
        </w:rPr>
      </w:pPr>
      <w:r>
        <w:rPr>
          <w:sz w:val="24"/>
        </w:rPr>
        <w:lastRenderedPageBreak/>
        <w:t>V případě, že je projekt týkající se ubytování realizován na území obce, kde se vybírají místní poplatky z cestovního ruchu (poplatek z ubytovací kapacity, rekreační poplatek</w:t>
      </w:r>
      <w:proofErr w:type="gramStart"/>
      <w:r>
        <w:rPr>
          <w:sz w:val="24"/>
        </w:rPr>
        <w:t xml:space="preserve">), </w:t>
      </w:r>
      <w:r w:rsidR="00713406" w:rsidRPr="00713406">
        <w:rPr>
          <w:sz w:val="24"/>
        </w:rPr>
        <w:t xml:space="preserve"> </w:t>
      </w:r>
      <w:r>
        <w:rPr>
          <w:sz w:val="24"/>
        </w:rPr>
        <w:t>potvrzení</w:t>
      </w:r>
      <w:proofErr w:type="gramEnd"/>
      <w:r>
        <w:rPr>
          <w:sz w:val="24"/>
        </w:rPr>
        <w:t xml:space="preserve"> příslušné obce prokazující, že příjemce dotace ohlásil vznik poplatkové povinnosti – prostá kopie</w:t>
      </w:r>
    </w:p>
    <w:p w14:paraId="533FD3E0" w14:textId="0A1E057E" w:rsidR="00A0355F" w:rsidRDefault="00A0355F" w:rsidP="00713406">
      <w:pPr>
        <w:pStyle w:val="Odstavecseseznamem"/>
        <w:numPr>
          <w:ilvl w:val="0"/>
          <w:numId w:val="3"/>
        </w:numPr>
        <w:rPr>
          <w:sz w:val="24"/>
        </w:rPr>
      </w:pPr>
      <w:r>
        <w:rPr>
          <w:sz w:val="24"/>
        </w:rPr>
        <w:t>V případě výstavby a modernizace zařízení na výrobu tvarovaných biopaliv – Protokol o vyráběném tvarovaném biopalivu dle platných norem pro tuhá biopaliva, vydaný Výzkumným ústavem zemědělské techniky (případně jinou zkušební nebo akreditovanou laboratoří); protokol bude obsahovat minimálně údaje: jméno výrobce, typ tuhého biopaliva (</w:t>
      </w:r>
      <w:proofErr w:type="spellStart"/>
      <w:r>
        <w:rPr>
          <w:sz w:val="24"/>
        </w:rPr>
        <w:t>př</w:t>
      </w:r>
      <w:proofErr w:type="spellEnd"/>
      <w:r>
        <w:rPr>
          <w:sz w:val="24"/>
        </w:rPr>
        <w:t>: briketa – smrk), odrol, obsah sušiny, výhřevnost, obsah popele, obsah těžkých kovů, zařazení biopaliva dle platné normy pro tuhá biopaliva, doporučený typ spalovacího zařízení.</w:t>
      </w:r>
    </w:p>
    <w:p w14:paraId="72CFF6C6" w14:textId="77777777" w:rsidR="00BE303C" w:rsidRPr="00BE303C" w:rsidRDefault="00BE303C" w:rsidP="00BE303C">
      <w:pPr>
        <w:pStyle w:val="Odstavecseseznamem"/>
        <w:numPr>
          <w:ilvl w:val="0"/>
          <w:numId w:val="3"/>
        </w:numPr>
        <w:spacing w:after="0" w:line="240" w:lineRule="auto"/>
        <w:rPr>
          <w:rFonts w:ascii="Arial" w:hAnsi="Arial" w:cs="Arial"/>
          <w:sz w:val="18"/>
          <w:szCs w:val="18"/>
          <w:lang w:eastAsia="cs-CZ"/>
        </w:rPr>
      </w:pPr>
      <w:r w:rsidRPr="00BE303C">
        <w:rPr>
          <w:rFonts w:ascii="Calibri" w:hAnsi="Calibri" w:cs="Arial"/>
          <w:sz w:val="24"/>
          <w:szCs w:val="24"/>
          <w:lang w:eastAsia="cs-CZ"/>
        </w:rPr>
        <w:t xml:space="preserve">Oprávnění k provozování činnosti, která je předmětem </w:t>
      </w:r>
      <w:proofErr w:type="gramStart"/>
      <w:r w:rsidRPr="00BE303C">
        <w:rPr>
          <w:rFonts w:ascii="Calibri" w:hAnsi="Calibri" w:cs="Arial"/>
          <w:sz w:val="24"/>
          <w:szCs w:val="24"/>
          <w:lang w:eastAsia="cs-CZ"/>
        </w:rPr>
        <w:t>projektu - prostá</w:t>
      </w:r>
      <w:proofErr w:type="gramEnd"/>
      <w:r w:rsidRPr="00BE303C">
        <w:rPr>
          <w:rFonts w:ascii="Calibri" w:hAnsi="Calibri" w:cs="Arial"/>
          <w:sz w:val="24"/>
          <w:szCs w:val="24"/>
          <w:lang w:eastAsia="cs-CZ"/>
        </w:rPr>
        <w:t xml:space="preserve"> kopie (je-li oprávněním výpis z živnostenského či obchodního rejstříku, anebo evidence zemědělského podnikatele, opr</w:t>
      </w:r>
      <w:r>
        <w:rPr>
          <w:rFonts w:ascii="Calibri" w:hAnsi="Calibri" w:cs="Arial"/>
          <w:sz w:val="24"/>
          <w:szCs w:val="24"/>
          <w:lang w:eastAsia="cs-CZ"/>
        </w:rPr>
        <w:t>ávnění se nepředkládá)</w:t>
      </w:r>
    </w:p>
    <w:p w14:paraId="56D0F1ED" w14:textId="5F5C238A" w:rsidR="00BE303C" w:rsidRPr="00BE303C" w:rsidRDefault="00BE303C" w:rsidP="00BE303C">
      <w:pPr>
        <w:pStyle w:val="Odstavecseseznamem"/>
        <w:numPr>
          <w:ilvl w:val="0"/>
          <w:numId w:val="3"/>
        </w:numPr>
        <w:spacing w:after="0" w:line="240" w:lineRule="auto"/>
        <w:rPr>
          <w:rFonts w:ascii="Arial" w:hAnsi="Arial" w:cs="Arial"/>
          <w:sz w:val="18"/>
          <w:szCs w:val="18"/>
          <w:lang w:eastAsia="cs-CZ"/>
        </w:rPr>
      </w:pPr>
      <w:r w:rsidRPr="00BE303C">
        <w:rPr>
          <w:rFonts w:ascii="Calibri" w:hAnsi="Calibri" w:cs="Arial"/>
          <w:sz w:val="24"/>
          <w:szCs w:val="24"/>
          <w:lang w:eastAsia="cs-CZ"/>
        </w:rPr>
        <w:t>Doklad o vedení (popř. zřízení) bankovního účtu ve vlastnictví příjemce dotace</w:t>
      </w:r>
      <w:r w:rsidR="00A0355F">
        <w:rPr>
          <w:rFonts w:ascii="Calibri" w:hAnsi="Calibri" w:cs="Arial"/>
          <w:sz w:val="24"/>
          <w:szCs w:val="24"/>
          <w:lang w:eastAsia="cs-CZ"/>
        </w:rPr>
        <w:t>/zřizovatele příspěvkové organizace</w:t>
      </w:r>
      <w:r w:rsidRPr="00BE303C">
        <w:rPr>
          <w:rFonts w:ascii="Calibri" w:hAnsi="Calibri" w:cs="Arial"/>
          <w:sz w:val="24"/>
          <w:szCs w:val="24"/>
          <w:lang w:eastAsia="cs-CZ"/>
        </w:rPr>
        <w:t>, na který bude příjemci dotace</w:t>
      </w:r>
      <w:r w:rsidR="00A0355F">
        <w:rPr>
          <w:rFonts w:ascii="Calibri" w:hAnsi="Calibri" w:cs="Arial"/>
          <w:sz w:val="24"/>
          <w:szCs w:val="24"/>
          <w:lang w:eastAsia="cs-CZ"/>
        </w:rPr>
        <w:t>/zřizovateli</w:t>
      </w:r>
      <w:r w:rsidR="00776A28">
        <w:rPr>
          <w:rFonts w:ascii="Calibri" w:hAnsi="Calibri" w:cs="Arial"/>
          <w:sz w:val="24"/>
          <w:szCs w:val="24"/>
          <w:lang w:eastAsia="cs-CZ"/>
        </w:rPr>
        <w:t xml:space="preserve"> příspěvkové organizace</w:t>
      </w:r>
      <w:r w:rsidRPr="00BE303C">
        <w:rPr>
          <w:rFonts w:ascii="Calibri" w:hAnsi="Calibri" w:cs="Arial"/>
          <w:sz w:val="24"/>
          <w:szCs w:val="24"/>
          <w:lang w:eastAsia="cs-CZ"/>
        </w:rPr>
        <w:t xml:space="preserve"> po</w:t>
      </w:r>
      <w:r>
        <w:rPr>
          <w:rFonts w:ascii="Calibri" w:hAnsi="Calibri" w:cs="Arial"/>
          <w:sz w:val="24"/>
          <w:szCs w:val="24"/>
          <w:lang w:eastAsia="cs-CZ"/>
        </w:rPr>
        <w:t>skytnuta dotace – prostá kopie</w:t>
      </w:r>
      <w:r w:rsidR="00776A28">
        <w:rPr>
          <w:rFonts w:ascii="Calibri" w:hAnsi="Calibri" w:cs="Arial"/>
          <w:sz w:val="24"/>
          <w:szCs w:val="24"/>
          <w:lang w:eastAsia="cs-CZ"/>
        </w:rPr>
        <w:t xml:space="preserve">. </w:t>
      </w:r>
      <w:r w:rsidRPr="00BE303C">
        <w:rPr>
          <w:rFonts w:ascii="Calibri" w:hAnsi="Calibri" w:cs="Arial"/>
          <w:sz w:val="24"/>
          <w:szCs w:val="24"/>
          <w:lang w:eastAsia="cs-CZ"/>
        </w:rPr>
        <w:t>Pokud příjemce </w:t>
      </w:r>
    </w:p>
    <w:p w14:paraId="273DDEFD" w14:textId="32E23DE8" w:rsidR="00BE303C" w:rsidRDefault="00776A28" w:rsidP="00BE303C">
      <w:pPr>
        <w:spacing w:after="12" w:line="240" w:lineRule="auto"/>
        <w:ind w:left="700"/>
        <w:rPr>
          <w:rFonts w:ascii="Calibri" w:hAnsi="Calibri" w:cs="Arial"/>
          <w:sz w:val="24"/>
          <w:szCs w:val="24"/>
          <w:lang w:eastAsia="cs-CZ"/>
        </w:rPr>
      </w:pPr>
      <w:r w:rsidRPr="00BE303C">
        <w:rPr>
          <w:rFonts w:ascii="Calibri" w:hAnsi="Calibri" w:cs="Arial"/>
          <w:sz w:val="24"/>
          <w:szCs w:val="24"/>
          <w:lang w:eastAsia="cs-CZ"/>
        </w:rPr>
        <w:t>D</w:t>
      </w:r>
      <w:r w:rsidR="00BE303C" w:rsidRPr="00BE303C">
        <w:rPr>
          <w:rFonts w:ascii="Calibri" w:hAnsi="Calibri" w:cs="Arial"/>
          <w:sz w:val="24"/>
          <w:szCs w:val="24"/>
          <w:lang w:eastAsia="cs-CZ"/>
        </w:rPr>
        <w:t>otace</w:t>
      </w:r>
      <w:r>
        <w:rPr>
          <w:rFonts w:ascii="Calibri" w:hAnsi="Calibri" w:cs="Arial"/>
          <w:sz w:val="24"/>
          <w:szCs w:val="24"/>
          <w:lang w:eastAsia="cs-CZ"/>
        </w:rPr>
        <w:t xml:space="preserve">/zřizovatel příspěvkové </w:t>
      </w:r>
      <w:proofErr w:type="gramStart"/>
      <w:r>
        <w:rPr>
          <w:rFonts w:ascii="Calibri" w:hAnsi="Calibri" w:cs="Arial"/>
          <w:sz w:val="24"/>
          <w:szCs w:val="24"/>
          <w:lang w:eastAsia="cs-CZ"/>
        </w:rPr>
        <w:t xml:space="preserve">organizace </w:t>
      </w:r>
      <w:r w:rsidR="00BE303C" w:rsidRPr="00BE303C">
        <w:rPr>
          <w:rFonts w:ascii="Calibri" w:hAnsi="Calibri" w:cs="Arial"/>
          <w:sz w:val="24"/>
          <w:szCs w:val="24"/>
          <w:lang w:eastAsia="cs-CZ"/>
        </w:rPr>
        <w:t xml:space="preserve"> doklad</w:t>
      </w:r>
      <w:proofErr w:type="gramEnd"/>
      <w:r w:rsidR="00BE303C" w:rsidRPr="00BE303C">
        <w:rPr>
          <w:rFonts w:ascii="Calibri" w:hAnsi="Calibri" w:cs="Arial"/>
          <w:sz w:val="24"/>
          <w:szCs w:val="24"/>
          <w:lang w:eastAsia="cs-CZ"/>
        </w:rPr>
        <w:t xml:space="preserve"> již předložil v rámci jiné Žádosti o platbu a číslo účtu zůstává stejné</w:t>
      </w:r>
      <w:r>
        <w:rPr>
          <w:rFonts w:ascii="Calibri" w:hAnsi="Calibri" w:cs="Arial"/>
          <w:sz w:val="24"/>
          <w:szCs w:val="24"/>
          <w:lang w:eastAsia="cs-CZ"/>
        </w:rPr>
        <w:t xml:space="preserve">, </w:t>
      </w:r>
      <w:r w:rsidR="00BE303C" w:rsidRPr="00BE303C">
        <w:rPr>
          <w:rFonts w:ascii="Calibri" w:hAnsi="Calibri" w:cs="Arial"/>
          <w:sz w:val="24"/>
          <w:szCs w:val="24"/>
          <w:lang w:eastAsia="cs-CZ"/>
        </w:rPr>
        <w:t>doklad se nepředkládá.</w:t>
      </w:r>
      <w:r w:rsidR="00BE303C">
        <w:rPr>
          <w:rFonts w:ascii="Calibri" w:hAnsi="Calibri" w:cs="Arial"/>
          <w:sz w:val="24"/>
          <w:szCs w:val="24"/>
          <w:lang w:eastAsia="cs-CZ"/>
        </w:rPr>
        <w:t xml:space="preserve"> </w:t>
      </w:r>
    </w:p>
    <w:p w14:paraId="15301664" w14:textId="76FC0B2A" w:rsidR="00BE303C" w:rsidRDefault="00BE303C" w:rsidP="00BE303C">
      <w:pPr>
        <w:pStyle w:val="Odstavecseseznamem"/>
        <w:numPr>
          <w:ilvl w:val="0"/>
          <w:numId w:val="3"/>
        </w:numPr>
        <w:spacing w:after="12" w:line="240" w:lineRule="auto"/>
        <w:rPr>
          <w:rFonts w:ascii="Calibri" w:hAnsi="Calibri" w:cs="Arial"/>
          <w:sz w:val="24"/>
          <w:szCs w:val="24"/>
          <w:lang w:eastAsia="cs-CZ"/>
        </w:rPr>
      </w:pPr>
      <w:r w:rsidRPr="00BE303C">
        <w:rPr>
          <w:rFonts w:ascii="Calibri" w:hAnsi="Calibri" w:cs="Arial"/>
          <w:sz w:val="24"/>
          <w:szCs w:val="24"/>
          <w:lang w:eastAsia="cs-CZ"/>
        </w:rPr>
        <w:t xml:space="preserve">Účetní/daňové doklady související s realizací projektu (např. faktury, </w:t>
      </w:r>
      <w:r w:rsidR="00776A28">
        <w:rPr>
          <w:rFonts w:ascii="Calibri" w:hAnsi="Calibri" w:cs="Arial"/>
          <w:sz w:val="24"/>
          <w:szCs w:val="24"/>
          <w:lang w:eastAsia="cs-CZ"/>
        </w:rPr>
        <w:t xml:space="preserve">paragony nebo související doklady, </w:t>
      </w:r>
      <w:r w:rsidRPr="00BE303C">
        <w:rPr>
          <w:rFonts w:ascii="Calibri" w:hAnsi="Calibri" w:cs="Arial"/>
          <w:sz w:val="24"/>
          <w:szCs w:val="24"/>
          <w:lang w:eastAsia="cs-CZ"/>
        </w:rPr>
        <w:t>vč. výrobních čísel strojů, či technologií</w:t>
      </w:r>
      <w:r w:rsidR="00776A28">
        <w:rPr>
          <w:rFonts w:ascii="Calibri" w:hAnsi="Calibri" w:cs="Arial"/>
          <w:sz w:val="24"/>
          <w:szCs w:val="24"/>
          <w:lang w:eastAsia="cs-CZ"/>
        </w:rPr>
        <w:t>) – prostá kopie.</w:t>
      </w:r>
    </w:p>
    <w:p w14:paraId="2087F086" w14:textId="0464FE8F" w:rsidR="00BE303C" w:rsidRDefault="00BE303C" w:rsidP="00BE303C">
      <w:pPr>
        <w:pStyle w:val="Odstavecseseznamem"/>
        <w:numPr>
          <w:ilvl w:val="0"/>
          <w:numId w:val="3"/>
        </w:numPr>
        <w:spacing w:after="12" w:line="240" w:lineRule="auto"/>
        <w:rPr>
          <w:rFonts w:ascii="Calibri" w:hAnsi="Calibri" w:cs="Arial"/>
          <w:sz w:val="24"/>
          <w:szCs w:val="24"/>
          <w:lang w:eastAsia="cs-CZ"/>
        </w:rPr>
      </w:pPr>
      <w:r w:rsidRPr="00BE303C">
        <w:rPr>
          <w:rFonts w:ascii="Calibri" w:hAnsi="Calibri" w:cs="Arial"/>
          <w:sz w:val="24"/>
          <w:szCs w:val="24"/>
          <w:lang w:eastAsia="cs-CZ"/>
        </w:rPr>
        <w:t>Doklad o uhrazení závazku dodavateli (např. výpis z bankovního účtu včetně smlouvy o zřízení/vedení účtu ve vlastnictví příjemce dotace, pokud byla úhrada prováděna z jiného účtu, než na který bude poskytnuta dotace, pokladní doklad, na kterém oprávněná os</w:t>
      </w:r>
      <w:r>
        <w:rPr>
          <w:rFonts w:ascii="Calibri" w:hAnsi="Calibri" w:cs="Arial"/>
          <w:sz w:val="24"/>
          <w:szCs w:val="24"/>
          <w:lang w:eastAsia="cs-CZ"/>
        </w:rPr>
        <w:t>oba potvrdí příjem hotovosti</w:t>
      </w:r>
      <w:r w:rsidR="00776A28">
        <w:rPr>
          <w:rFonts w:ascii="Calibri" w:hAnsi="Calibri" w:cs="Arial"/>
          <w:sz w:val="24"/>
          <w:szCs w:val="24"/>
          <w:lang w:eastAsia="cs-CZ"/>
        </w:rPr>
        <w:t>) – prostá kopie</w:t>
      </w:r>
    </w:p>
    <w:p w14:paraId="1DEE3095" w14:textId="7E803037" w:rsidR="00822B17" w:rsidRDefault="00BE303C" w:rsidP="00BE303C">
      <w:pPr>
        <w:pStyle w:val="Odstavecseseznamem"/>
        <w:numPr>
          <w:ilvl w:val="0"/>
          <w:numId w:val="3"/>
        </w:numPr>
        <w:spacing w:after="12" w:line="240" w:lineRule="auto"/>
        <w:rPr>
          <w:rFonts w:ascii="Calibri" w:hAnsi="Calibri" w:cs="Arial"/>
          <w:sz w:val="24"/>
          <w:szCs w:val="24"/>
          <w:lang w:eastAsia="cs-CZ"/>
        </w:rPr>
      </w:pPr>
      <w:r w:rsidRPr="00BE303C">
        <w:rPr>
          <w:rFonts w:ascii="Calibri" w:hAnsi="Calibri" w:cs="Arial"/>
          <w:sz w:val="24"/>
          <w:szCs w:val="24"/>
          <w:lang w:eastAsia="cs-CZ"/>
        </w:rPr>
        <w:t xml:space="preserve">V případě nákupu strojů a technologií </w:t>
      </w:r>
      <w:r w:rsidR="00776A28">
        <w:rPr>
          <w:rFonts w:ascii="Calibri" w:hAnsi="Calibri" w:cs="Arial"/>
          <w:sz w:val="24"/>
          <w:szCs w:val="24"/>
          <w:lang w:eastAsia="cs-CZ"/>
        </w:rPr>
        <w:t xml:space="preserve">doklad o posouzen shody – ES prohlášení o shodě </w:t>
      </w:r>
      <w:r w:rsidRPr="00BE303C">
        <w:rPr>
          <w:rFonts w:ascii="Calibri" w:hAnsi="Calibri" w:cs="Arial"/>
          <w:sz w:val="24"/>
          <w:szCs w:val="24"/>
          <w:lang w:eastAsia="cs-CZ"/>
        </w:rPr>
        <w:t>(při kontrole na místě musí příjemce dotace předložit technickou dokumentaci k výrobku k nahlédnutí), technický průkaz, respektive technické osvědčení v případě, že se jedná o stroje, které podléhají schválení vozidla k provozu na pozemních komunikacích a budo</w:t>
      </w:r>
      <w:r>
        <w:rPr>
          <w:rFonts w:ascii="Calibri" w:hAnsi="Calibri" w:cs="Arial"/>
          <w:sz w:val="24"/>
          <w:szCs w:val="24"/>
          <w:lang w:eastAsia="cs-CZ"/>
        </w:rPr>
        <w:t>u využívány mimo uzavřený areál</w:t>
      </w:r>
      <w:r w:rsidR="00776A28">
        <w:rPr>
          <w:rFonts w:ascii="Calibri" w:hAnsi="Calibri" w:cs="Arial"/>
          <w:sz w:val="24"/>
          <w:szCs w:val="24"/>
          <w:lang w:eastAsia="cs-CZ"/>
        </w:rPr>
        <w:t xml:space="preserve"> – prostá kopie.</w:t>
      </w:r>
    </w:p>
    <w:p w14:paraId="0CF2A3DE" w14:textId="68577516" w:rsidR="00DA13D4" w:rsidRPr="00DA13D4" w:rsidRDefault="00DA13D4" w:rsidP="00DA13D4">
      <w:pPr>
        <w:pStyle w:val="Odstavecseseznamem"/>
        <w:numPr>
          <w:ilvl w:val="0"/>
          <w:numId w:val="3"/>
        </w:numPr>
        <w:autoSpaceDE w:val="0"/>
        <w:autoSpaceDN w:val="0"/>
        <w:adjustRightInd w:val="0"/>
        <w:spacing w:after="0" w:line="240" w:lineRule="auto"/>
        <w:rPr>
          <w:rFonts w:ascii="Arial" w:hAnsi="Arial" w:cs="Arial"/>
          <w:color w:val="000000"/>
          <w:sz w:val="24"/>
          <w:szCs w:val="24"/>
        </w:rPr>
      </w:pPr>
      <w:r w:rsidRPr="00DA13D4">
        <w:rPr>
          <w:rFonts w:ascii="Arial" w:hAnsi="Arial" w:cs="Arial"/>
          <w:color w:val="000000"/>
        </w:rPr>
        <w:t>V případě, že projekt/část projektu podléhá řízení stavebního úřadu, pak kolaudační souhlas nebo oznámení stavebnímu úřadu o užívání stavby nebo souhlas se změnou v užívání stavby, povolení ke zkušebnímu provozu nebo povolení k předčasnému užívání stavby před jejím úplným dokončením podle zákona č. 183/2006 Sb., o územním plánování a stavebním řádu (stavební zákon), ve znění pozdějších předpisů – prostá kopie</w:t>
      </w:r>
    </w:p>
    <w:p w14:paraId="78CC0A83" w14:textId="4B1FA766" w:rsidR="00DA13D4" w:rsidRPr="00DA13D4" w:rsidRDefault="00DA13D4" w:rsidP="00DA13D4">
      <w:pPr>
        <w:pStyle w:val="Odstavecseseznamem"/>
        <w:numPr>
          <w:ilvl w:val="0"/>
          <w:numId w:val="3"/>
        </w:numPr>
        <w:autoSpaceDE w:val="0"/>
        <w:autoSpaceDN w:val="0"/>
        <w:adjustRightInd w:val="0"/>
        <w:spacing w:after="0" w:line="240" w:lineRule="auto"/>
        <w:rPr>
          <w:rFonts w:ascii="Arial" w:hAnsi="Arial" w:cs="Arial"/>
          <w:color w:val="000000"/>
          <w:sz w:val="24"/>
          <w:szCs w:val="24"/>
        </w:rPr>
      </w:pPr>
      <w:r w:rsidRPr="00DA13D4">
        <w:rPr>
          <w:rFonts w:ascii="Arial" w:hAnsi="Arial" w:cs="Arial"/>
          <w:color w:val="000000"/>
        </w:rPr>
        <w:t>V případě, že projekt/část projektu podléhá řízení stavebního úřadu a v průběhu realizace projektu došlo ke změnám oproti původní dokumentaci, pak dokumentace skutečného provedení stavby ověřená stavebním úřadem předkládaná k řízení stavebního úřadu v souladu se stavebním zákonem – prostá kopie;</w:t>
      </w:r>
    </w:p>
    <w:p w14:paraId="0BCFA449" w14:textId="77777777" w:rsidR="00DA13D4" w:rsidRPr="00DA13D4" w:rsidRDefault="00DA13D4" w:rsidP="00DA13D4">
      <w:pPr>
        <w:pStyle w:val="Odstavecseseznamem"/>
        <w:numPr>
          <w:ilvl w:val="0"/>
          <w:numId w:val="3"/>
        </w:numPr>
        <w:autoSpaceDE w:val="0"/>
        <w:autoSpaceDN w:val="0"/>
        <w:adjustRightInd w:val="0"/>
        <w:spacing w:after="0" w:line="240" w:lineRule="auto"/>
        <w:rPr>
          <w:rFonts w:ascii="Arial" w:hAnsi="Arial" w:cs="Arial"/>
          <w:color w:val="000000"/>
          <w:sz w:val="24"/>
          <w:szCs w:val="24"/>
        </w:rPr>
      </w:pPr>
      <w:r w:rsidRPr="00DA13D4">
        <w:rPr>
          <w:rFonts w:ascii="Arial" w:hAnsi="Arial" w:cs="Arial"/>
          <w:color w:val="000000"/>
        </w:rPr>
        <w:t xml:space="preserve">Soupisky účetních/daňových dokladů k výdajům, ze kterých je stanovena dotace – je součástí elektronické Žádosti o platbu; </w:t>
      </w:r>
    </w:p>
    <w:p w14:paraId="447637EE" w14:textId="0E13E98A" w:rsidR="00BF512F" w:rsidRPr="00BF512F" w:rsidRDefault="00C64FAA" w:rsidP="00BF512F">
      <w:pPr>
        <w:pStyle w:val="Odstavecseseznamem"/>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color w:val="000000"/>
        </w:rPr>
        <w:t>Potvrzení finančního úřadu o bezdlužnosti, popř. povolení k posečkání úhrady daně nebo rozložení úhrady daně do splátek; toto potvrzení nesmí být starší 30 kalendářních dnů k datu podání Žádosti o platbu na MAS – prostá kopie.</w:t>
      </w:r>
    </w:p>
    <w:p w14:paraId="14174D56" w14:textId="4DAA124F" w:rsidR="00822B17" w:rsidRPr="006F02D6" w:rsidRDefault="00BF512F" w:rsidP="00C64FAA">
      <w:pPr>
        <w:pStyle w:val="Default"/>
        <w:numPr>
          <w:ilvl w:val="0"/>
          <w:numId w:val="3"/>
        </w:numPr>
        <w:rPr>
          <w:sz w:val="22"/>
          <w:szCs w:val="22"/>
        </w:rPr>
      </w:pPr>
      <w:r>
        <w:rPr>
          <w:sz w:val="22"/>
          <w:szCs w:val="22"/>
        </w:rPr>
        <w:t xml:space="preserve">Cenový marketing či vyhodnocení z elektronického tržiště v případě, že se jedná se o zakázku, jejíž předpokládaná hodnota je nižší než 500 000 Kč bez DPH, včetně písemné smlouvy nebo objednávky s vybraným dodavatelem, nabídkových a pokud </w:t>
      </w:r>
      <w:r>
        <w:rPr>
          <w:sz w:val="22"/>
          <w:szCs w:val="22"/>
        </w:rPr>
        <w:lastRenderedPageBreak/>
        <w:t>byly vyhotoveny, tak i poptávkových podkladů pro tabulku cenového marketingu – prostá kopie</w:t>
      </w:r>
    </w:p>
    <w:p w14:paraId="20ACF041" w14:textId="77777777" w:rsidR="00822B17" w:rsidRPr="009B5B82" w:rsidRDefault="00BE303C" w:rsidP="00BE303C">
      <w:pPr>
        <w:pStyle w:val="Odstavecseseznamem"/>
        <w:numPr>
          <w:ilvl w:val="0"/>
          <w:numId w:val="3"/>
        </w:numPr>
        <w:spacing w:after="12" w:line="240" w:lineRule="auto"/>
        <w:rPr>
          <w:rFonts w:ascii="Arial" w:hAnsi="Arial" w:cs="Arial"/>
          <w:lang w:eastAsia="cs-CZ"/>
        </w:rPr>
      </w:pPr>
      <w:r w:rsidRPr="009B5B82">
        <w:rPr>
          <w:rFonts w:ascii="Arial" w:hAnsi="Arial" w:cs="Arial"/>
          <w:lang w:eastAsia="cs-CZ"/>
        </w:rPr>
        <w:t>Dodatek/Dodatky ke smlouvě s dodavatelem na zakázky projektu (v případě, že byly s dodavatelem uzavřeny) – prostá kopie</w:t>
      </w:r>
    </w:p>
    <w:p w14:paraId="261ACEB2" w14:textId="77777777" w:rsidR="00822B17" w:rsidRPr="009B5B82" w:rsidRDefault="00BE303C" w:rsidP="00BE303C">
      <w:pPr>
        <w:pStyle w:val="Odstavecseseznamem"/>
        <w:numPr>
          <w:ilvl w:val="0"/>
          <w:numId w:val="3"/>
        </w:numPr>
        <w:spacing w:after="12" w:line="240" w:lineRule="auto"/>
        <w:rPr>
          <w:rFonts w:ascii="Arial" w:hAnsi="Arial" w:cs="Arial"/>
          <w:lang w:eastAsia="cs-CZ"/>
        </w:rPr>
      </w:pPr>
      <w:r w:rsidRPr="009B5B82">
        <w:rPr>
          <w:rFonts w:ascii="Arial" w:hAnsi="Arial" w:cs="Arial"/>
          <w:lang w:eastAsia="cs-CZ"/>
        </w:rPr>
        <w:t>V případě zahrnutí stavebních prací do celkových výdajů, ze kterých je stanovena dotace – soupis stavebních prací s výkazem výměr a položkový rozpočet správně rozdělený do odpovídajících kódů výdajů, ze kterých je stanovena dotace – prostá kopie</w:t>
      </w:r>
    </w:p>
    <w:p w14:paraId="1A3AE4A9" w14:textId="2BF39E55" w:rsidR="00BE303C" w:rsidRPr="009B5B82" w:rsidRDefault="00BE303C" w:rsidP="006F02D6">
      <w:pPr>
        <w:pStyle w:val="Odstavecseseznamem"/>
        <w:numPr>
          <w:ilvl w:val="0"/>
          <w:numId w:val="3"/>
        </w:numPr>
        <w:spacing w:after="12" w:line="240" w:lineRule="auto"/>
        <w:rPr>
          <w:rFonts w:ascii="Arial" w:hAnsi="Arial" w:cs="Arial"/>
          <w:lang w:eastAsia="cs-CZ"/>
        </w:rPr>
      </w:pPr>
      <w:r w:rsidRPr="009B5B82">
        <w:rPr>
          <w:rFonts w:ascii="Arial" w:hAnsi="Arial" w:cs="Arial"/>
          <w:lang w:eastAsia="cs-CZ"/>
        </w:rPr>
        <w:t>Fotodokumentace předmětu dotace pořízená v místě realizace včetně fotozáznamu výrobního nebo evidenčního čísla, pokud je jím předmět dotace opatřen (fotodokumentace musí být v odpovídající kvalitě zajišťující čitelnost a jednoznačnou identifikovatelnost</w:t>
      </w:r>
      <w:r w:rsidR="006F02D6" w:rsidRPr="009B5B82">
        <w:rPr>
          <w:rFonts w:ascii="Arial" w:hAnsi="Arial" w:cs="Arial"/>
          <w:lang w:eastAsia="cs-CZ"/>
        </w:rPr>
        <w:t>)</w:t>
      </w:r>
    </w:p>
    <w:p w14:paraId="6956D768" w14:textId="17EA2364" w:rsidR="006F02D6" w:rsidRPr="009B5B82" w:rsidRDefault="009B5B82" w:rsidP="009B5B82">
      <w:pPr>
        <w:pStyle w:val="Odstavecseseznamem"/>
        <w:numPr>
          <w:ilvl w:val="0"/>
          <w:numId w:val="3"/>
        </w:numPr>
      </w:pPr>
      <w:r w:rsidRPr="009B5B82">
        <w:t>V případě nákupu nemovitosti jako výdaje, ze kterého je stanovena dotace, kupní smlouva, ne starší než datum podání Žádosti o dotaci na MAS – prostá kopie</w:t>
      </w:r>
    </w:p>
    <w:p w14:paraId="67D37D28" w14:textId="310C8AFF" w:rsidR="009B5B82" w:rsidRPr="009B5B82" w:rsidRDefault="009B5B82" w:rsidP="009B5B82">
      <w:pPr>
        <w:pStyle w:val="Odstavecseseznamem"/>
        <w:numPr>
          <w:ilvl w:val="0"/>
          <w:numId w:val="3"/>
        </w:numPr>
      </w:pPr>
      <w:r w:rsidRPr="009B5B82">
        <w:t xml:space="preserve">V případě, že příjemce dotace v projektu za účelem bodového zisku deklaroval vytvoření nových pracovních míst a jedná se o malý a střední </w:t>
      </w:r>
      <w:proofErr w:type="gramStart"/>
      <w:r w:rsidRPr="009B5B82">
        <w:t>podnik - Prohlášení</w:t>
      </w:r>
      <w:proofErr w:type="gramEnd"/>
      <w:r w:rsidRPr="009B5B82">
        <w:t xml:space="preserve"> o zařazení podniku do kategorie </w:t>
      </w:r>
      <w:proofErr w:type="spellStart"/>
      <w:r w:rsidRPr="009B5B82">
        <w:t>mikropodniků</w:t>
      </w:r>
      <w:proofErr w:type="spellEnd"/>
      <w:r w:rsidRPr="009B5B82">
        <w:t>, malých či středních podniků dle Přílohy 5 Pravidel - elektronický PDF formulář je dokládán na SZIF prostřednictvím Portálu farmáře v sekci „Průřezové přílohy“; D jinak se na žadatele bude pohlížet jako na velký podnik.</w:t>
      </w:r>
    </w:p>
    <w:p w14:paraId="37754F15" w14:textId="493D25E3" w:rsidR="009B5B82" w:rsidRPr="009B5B82" w:rsidRDefault="009B5B82" w:rsidP="009B5B82">
      <w:pPr>
        <w:pStyle w:val="Odstavecseseznamem"/>
        <w:numPr>
          <w:ilvl w:val="0"/>
          <w:numId w:val="3"/>
        </w:numPr>
      </w:pPr>
      <w:r w:rsidRPr="009B5B82">
        <w:t xml:space="preserve">V případě </w:t>
      </w:r>
      <w:proofErr w:type="spellStart"/>
      <w:r w:rsidRPr="009B5B82">
        <w:t>Fiche</w:t>
      </w:r>
      <w:proofErr w:type="spellEnd"/>
      <w:r w:rsidRPr="009B5B82">
        <w:t xml:space="preserve"> dle čl. 35, odstavec 2., písmeno c) – Prohlášení o zařazení podniku (případně všech spolupracujících subjektů) do kategorie </w:t>
      </w:r>
      <w:proofErr w:type="spellStart"/>
      <w:r w:rsidRPr="009B5B82">
        <w:t>mikropodniků</w:t>
      </w:r>
      <w:proofErr w:type="spellEnd"/>
      <w:r w:rsidRPr="009B5B82">
        <w:t>, malých či středních podniků dle vzoru v Příloze 5 Pravidel – elektronický PDF formulář je dokládán na SZIF prostřednictvím Portálu farmáře v sekci „Průřezové přílohy“; D jinak C.</w:t>
      </w:r>
    </w:p>
    <w:p w14:paraId="2A67B385" w14:textId="49E359B8" w:rsidR="009B5B82" w:rsidRPr="009B5B82" w:rsidRDefault="009B5B82" w:rsidP="009B5B82">
      <w:pPr>
        <w:pStyle w:val="Odstavecseseznamem"/>
        <w:numPr>
          <w:ilvl w:val="0"/>
          <w:numId w:val="3"/>
        </w:numPr>
      </w:pPr>
      <w:r w:rsidRPr="009B5B82">
        <w:t>Přílohy stanovené MAS.</w:t>
      </w:r>
    </w:p>
    <w:p w14:paraId="111ADDD9" w14:textId="77777777" w:rsidR="006F02D6" w:rsidRDefault="006F02D6" w:rsidP="009B5B82">
      <w:pPr>
        <w:pStyle w:val="Default"/>
        <w:ind w:left="360"/>
      </w:pPr>
    </w:p>
    <w:p w14:paraId="55313677" w14:textId="1E8FBB22" w:rsidR="00CF6D9B" w:rsidRDefault="00CF6D9B" w:rsidP="006F02D6">
      <w:pPr>
        <w:pStyle w:val="Default"/>
        <w:ind w:left="720"/>
      </w:pPr>
    </w:p>
    <w:p w14:paraId="5C035589" w14:textId="77777777" w:rsidR="00CF6D9B" w:rsidRPr="004F1B46" w:rsidRDefault="00CF6D9B" w:rsidP="00CF6D9B">
      <w:pPr>
        <w:rPr>
          <w:b/>
          <w:sz w:val="24"/>
          <w:u w:val="single"/>
        </w:rPr>
      </w:pPr>
      <w:r w:rsidRPr="004F1B46">
        <w:rPr>
          <w:b/>
          <w:sz w:val="24"/>
          <w:u w:val="single"/>
        </w:rPr>
        <w:t xml:space="preserve">PŘÍLOHY PO PROPLACENÍ </w:t>
      </w:r>
    </w:p>
    <w:p w14:paraId="06F54E9A" w14:textId="1E00D733" w:rsidR="00CF6D9B" w:rsidRPr="0067010F" w:rsidRDefault="00CF6D9B" w:rsidP="00CF6D9B">
      <w:pPr>
        <w:pStyle w:val="Odstavecseseznamem"/>
        <w:numPr>
          <w:ilvl w:val="0"/>
          <w:numId w:val="5"/>
        </w:numPr>
        <w:rPr>
          <w:sz w:val="24"/>
        </w:rPr>
      </w:pPr>
      <w:r w:rsidRPr="004F1B46">
        <w:rPr>
          <w:sz w:val="24"/>
        </w:rPr>
        <w:t xml:space="preserve">Monitorovací zpráva k projektu na formuláři zveřejněném na Portálu Farmáře. Zpráva je </w:t>
      </w:r>
      <w:r w:rsidR="00BE303C">
        <w:rPr>
          <w:sz w:val="24"/>
        </w:rPr>
        <w:t>odevzdávána každoročně do 31. 7</w:t>
      </w:r>
      <w:r w:rsidRPr="004F1B46">
        <w:rPr>
          <w:sz w:val="24"/>
        </w:rPr>
        <w:t xml:space="preserve"> po celou dobu lhůty vázanosti projektu na účel; </w:t>
      </w:r>
    </w:p>
    <w:p w14:paraId="0BD517A8" w14:textId="77777777" w:rsidR="00CF6D9B" w:rsidRDefault="00CF6D9B" w:rsidP="0039471E">
      <w:pPr>
        <w:ind w:left="-426"/>
      </w:pPr>
    </w:p>
    <w:sectPr w:rsidR="00CF6D9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0677F" w14:textId="77777777" w:rsidR="00DE21C5" w:rsidRDefault="00DE21C5" w:rsidP="004871C3">
      <w:pPr>
        <w:spacing w:after="0" w:line="240" w:lineRule="auto"/>
      </w:pPr>
      <w:r>
        <w:separator/>
      </w:r>
    </w:p>
  </w:endnote>
  <w:endnote w:type="continuationSeparator" w:id="0">
    <w:p w14:paraId="72EFB1CB" w14:textId="77777777" w:rsidR="00DE21C5" w:rsidRDefault="00DE21C5" w:rsidP="00487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1880C" w14:textId="77777777" w:rsidR="00DE21C5" w:rsidRDefault="00DE21C5" w:rsidP="004871C3">
      <w:pPr>
        <w:spacing w:after="0" w:line="240" w:lineRule="auto"/>
      </w:pPr>
      <w:r>
        <w:separator/>
      </w:r>
    </w:p>
  </w:footnote>
  <w:footnote w:type="continuationSeparator" w:id="0">
    <w:p w14:paraId="5E222CCA" w14:textId="77777777" w:rsidR="00DE21C5" w:rsidRDefault="00DE21C5" w:rsidP="00487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800B2" w14:textId="1971796D" w:rsidR="001E0998" w:rsidRPr="001E0998" w:rsidRDefault="00E35F1A">
    <w:pPr>
      <w:pStyle w:val="Zhlav"/>
      <w:rPr>
        <w:b/>
      </w:rPr>
    </w:pPr>
    <w:r>
      <w:rPr>
        <w:b/>
      </w:rPr>
      <w:t xml:space="preserve">Verze </w:t>
    </w:r>
    <w:r w:rsidR="009B5B82">
      <w:rPr>
        <w:b/>
      </w:rPr>
      <w:t>prosinec 2020</w:t>
    </w:r>
    <w:r w:rsidR="001E0998">
      <w:rPr>
        <w:b/>
      </w:rPr>
      <w:tab/>
    </w:r>
    <w:r w:rsidR="001E0998">
      <w:rPr>
        <w:b/>
      </w:rPr>
      <w:tab/>
    </w:r>
    <w:proofErr w:type="spellStart"/>
    <w:r w:rsidR="001E0998">
      <w:rPr>
        <w:b/>
      </w:rPr>
      <w:t>Fiche</w:t>
    </w:r>
    <w:proofErr w:type="spellEnd"/>
    <w:r w:rsidR="001E0998">
      <w:rPr>
        <w:b/>
      </w:rPr>
      <w:t xml:space="preserve"> pro žadatele, </w:t>
    </w:r>
    <w:r w:rsidR="001E0998" w:rsidRPr="001E0998">
      <w:rPr>
        <w:b/>
      </w:rPr>
      <w:t>MAS RAKOVNICKO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C03D0"/>
    <w:multiLevelType w:val="hybridMultilevel"/>
    <w:tmpl w:val="D2E2CBD2"/>
    <w:lvl w:ilvl="0" w:tplc="B358A5CA">
      <w:start w:val="45"/>
      <w:numFmt w:val="bullet"/>
      <w:lvlText w:val="-"/>
      <w:lvlJc w:val="left"/>
      <w:pPr>
        <w:ind w:left="1440" w:hanging="360"/>
      </w:pPr>
      <w:rPr>
        <w:rFonts w:ascii="Times New Roman" w:eastAsiaTheme="minorHAns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BF1532F"/>
    <w:multiLevelType w:val="hybridMultilevel"/>
    <w:tmpl w:val="03006A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3A4C31"/>
    <w:multiLevelType w:val="hybridMultilevel"/>
    <w:tmpl w:val="615C65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E6721E"/>
    <w:multiLevelType w:val="hybridMultilevel"/>
    <w:tmpl w:val="82964E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17129D"/>
    <w:multiLevelType w:val="hybridMultilevel"/>
    <w:tmpl w:val="6A0832E8"/>
    <w:lvl w:ilvl="0" w:tplc="B7CA779E">
      <w:start w:val="1"/>
      <w:numFmt w:val="bullet"/>
      <w:lvlText w:val=""/>
      <w:lvlJc w:val="left"/>
      <w:pPr>
        <w:ind w:left="720" w:hanging="360"/>
      </w:pPr>
      <w:rPr>
        <w:rFonts w:ascii="Symbol" w:hAnsi="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8A0663A"/>
    <w:multiLevelType w:val="hybridMultilevel"/>
    <w:tmpl w:val="F7367F80"/>
    <w:lvl w:ilvl="0" w:tplc="EE8C0630">
      <w:start w:val="1"/>
      <w:numFmt w:val="decimal"/>
      <w:lvlText w:val="%1."/>
      <w:lvlJc w:val="left"/>
      <w:pPr>
        <w:ind w:left="720" w:hanging="360"/>
      </w:pPr>
      <w:rPr>
        <w:rFonts w:asciiTheme="minorHAnsi" w:hAnsiTheme="minorHAnsi"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A36ABF"/>
    <w:multiLevelType w:val="hybridMultilevel"/>
    <w:tmpl w:val="FA2E6B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0446A1"/>
    <w:multiLevelType w:val="hybridMultilevel"/>
    <w:tmpl w:val="B71E6D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2B70A58"/>
    <w:multiLevelType w:val="hybridMultilevel"/>
    <w:tmpl w:val="F8544CC0"/>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9" w15:restartNumberingAfterBreak="0">
    <w:nsid w:val="25875EB8"/>
    <w:multiLevelType w:val="hybridMultilevel"/>
    <w:tmpl w:val="BAFCD322"/>
    <w:lvl w:ilvl="0" w:tplc="B7CA779E">
      <w:start w:val="1"/>
      <w:numFmt w:val="bullet"/>
      <w:lvlText w:val=""/>
      <w:lvlJc w:val="left"/>
      <w:pPr>
        <w:ind w:left="720" w:hanging="360"/>
      </w:pPr>
      <w:rPr>
        <w:rFonts w:ascii="Symbol" w:hAnsi="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65243F5"/>
    <w:multiLevelType w:val="hybridMultilevel"/>
    <w:tmpl w:val="C5C6D8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89C31D0"/>
    <w:multiLevelType w:val="hybridMultilevel"/>
    <w:tmpl w:val="746E216C"/>
    <w:lvl w:ilvl="0" w:tplc="22C65140">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CC84108"/>
    <w:multiLevelType w:val="hybridMultilevel"/>
    <w:tmpl w:val="26888782"/>
    <w:lvl w:ilvl="0" w:tplc="22C65140">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E0938FA"/>
    <w:multiLevelType w:val="hybridMultilevel"/>
    <w:tmpl w:val="AE8CAAC8"/>
    <w:lvl w:ilvl="0" w:tplc="65087A6C">
      <w:start w:val="1"/>
      <w:numFmt w:val="decimal"/>
      <w:lvlText w:val="%1."/>
      <w:lvlJc w:val="left"/>
      <w:pPr>
        <w:ind w:left="785" w:hanging="360"/>
      </w:pPr>
      <w:rPr>
        <w:rFonts w:ascii="Calibri" w:hAnsi="Calibri"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0054C8A"/>
    <w:multiLevelType w:val="hybridMultilevel"/>
    <w:tmpl w:val="2E8E7E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6A034AF"/>
    <w:multiLevelType w:val="hybridMultilevel"/>
    <w:tmpl w:val="701E9D16"/>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FBA6159"/>
    <w:multiLevelType w:val="hybridMultilevel"/>
    <w:tmpl w:val="9CF6FB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2FE1C44"/>
    <w:multiLevelType w:val="hybridMultilevel"/>
    <w:tmpl w:val="135C3202"/>
    <w:lvl w:ilvl="0" w:tplc="22C65140">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4AF13D5"/>
    <w:multiLevelType w:val="hybridMultilevel"/>
    <w:tmpl w:val="0B4CDA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79A76DD"/>
    <w:multiLevelType w:val="hybridMultilevel"/>
    <w:tmpl w:val="63EA788E"/>
    <w:lvl w:ilvl="0" w:tplc="EE8C0630">
      <w:start w:val="1"/>
      <w:numFmt w:val="decimal"/>
      <w:lvlText w:val="%1."/>
      <w:lvlJc w:val="left"/>
      <w:pPr>
        <w:ind w:left="720" w:hanging="360"/>
      </w:pPr>
      <w:rPr>
        <w:rFonts w:asciiTheme="minorHAnsi" w:hAnsiTheme="minorHAnsi" w:hint="default"/>
        <w:sz w:val="24"/>
        <w:szCs w:val="24"/>
      </w:rPr>
    </w:lvl>
    <w:lvl w:ilvl="1" w:tplc="B358A5CA">
      <w:start w:val="45"/>
      <w:numFmt w:val="bullet"/>
      <w:lvlText w:val="-"/>
      <w:lvlJc w:val="left"/>
      <w:pPr>
        <w:ind w:left="1440" w:hanging="360"/>
      </w:pPr>
      <w:rPr>
        <w:rFonts w:ascii="Times New Roman" w:eastAsiaTheme="minorHAns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82673E5"/>
    <w:multiLevelType w:val="hybridMultilevel"/>
    <w:tmpl w:val="E026D3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0AB3D38"/>
    <w:multiLevelType w:val="hybridMultilevel"/>
    <w:tmpl w:val="B620A0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2AC3F2E"/>
    <w:multiLevelType w:val="hybridMultilevel"/>
    <w:tmpl w:val="923C91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8717582"/>
    <w:multiLevelType w:val="hybridMultilevel"/>
    <w:tmpl w:val="8E2CAA4C"/>
    <w:lvl w:ilvl="0" w:tplc="D4B0DCE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B6F3E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E2C41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2AD3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962DE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F2791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4C8BA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20745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48664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EFF0786"/>
    <w:multiLevelType w:val="hybridMultilevel"/>
    <w:tmpl w:val="426A3F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0BE0360"/>
    <w:multiLevelType w:val="hybridMultilevel"/>
    <w:tmpl w:val="13D400B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1397975"/>
    <w:multiLevelType w:val="hybridMultilevel"/>
    <w:tmpl w:val="50BA56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6501BCE"/>
    <w:multiLevelType w:val="hybridMultilevel"/>
    <w:tmpl w:val="ED1E28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9015EC5"/>
    <w:multiLevelType w:val="hybridMultilevel"/>
    <w:tmpl w:val="D3DC52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F8A286F"/>
    <w:multiLevelType w:val="hybridMultilevel"/>
    <w:tmpl w:val="E0EE90F4"/>
    <w:lvl w:ilvl="0" w:tplc="22C65140">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9"/>
  </w:num>
  <w:num w:numId="4">
    <w:abstractNumId w:val="7"/>
  </w:num>
  <w:num w:numId="5">
    <w:abstractNumId w:val="28"/>
  </w:num>
  <w:num w:numId="6">
    <w:abstractNumId w:val="14"/>
  </w:num>
  <w:num w:numId="7">
    <w:abstractNumId w:val="13"/>
  </w:num>
  <w:num w:numId="8">
    <w:abstractNumId w:val="1"/>
  </w:num>
  <w:num w:numId="9">
    <w:abstractNumId w:val="2"/>
  </w:num>
  <w:num w:numId="10">
    <w:abstractNumId w:val="10"/>
  </w:num>
  <w:num w:numId="11">
    <w:abstractNumId w:val="8"/>
  </w:num>
  <w:num w:numId="12">
    <w:abstractNumId w:val="12"/>
  </w:num>
  <w:num w:numId="13">
    <w:abstractNumId w:val="27"/>
  </w:num>
  <w:num w:numId="14">
    <w:abstractNumId w:val="26"/>
  </w:num>
  <w:num w:numId="15">
    <w:abstractNumId w:val="24"/>
  </w:num>
  <w:num w:numId="16">
    <w:abstractNumId w:val="16"/>
  </w:num>
  <w:num w:numId="17">
    <w:abstractNumId w:val="21"/>
  </w:num>
  <w:num w:numId="18">
    <w:abstractNumId w:val="0"/>
  </w:num>
  <w:num w:numId="19">
    <w:abstractNumId w:val="11"/>
  </w:num>
  <w:num w:numId="20">
    <w:abstractNumId w:val="17"/>
  </w:num>
  <w:num w:numId="21">
    <w:abstractNumId w:val="29"/>
  </w:num>
  <w:num w:numId="22">
    <w:abstractNumId w:val="9"/>
  </w:num>
  <w:num w:numId="23">
    <w:abstractNumId w:val="3"/>
  </w:num>
  <w:num w:numId="24">
    <w:abstractNumId w:val="22"/>
  </w:num>
  <w:num w:numId="25">
    <w:abstractNumId w:val="4"/>
  </w:num>
  <w:num w:numId="26">
    <w:abstractNumId w:val="6"/>
  </w:num>
  <w:num w:numId="27">
    <w:abstractNumId w:val="5"/>
  </w:num>
  <w:num w:numId="28">
    <w:abstractNumId w:val="25"/>
  </w:num>
  <w:num w:numId="29">
    <w:abstractNumId w:val="1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D9B"/>
    <w:rsid w:val="000047B9"/>
    <w:rsid w:val="00047839"/>
    <w:rsid w:val="00052CDB"/>
    <w:rsid w:val="0007205E"/>
    <w:rsid w:val="00090C60"/>
    <w:rsid w:val="000E2B37"/>
    <w:rsid w:val="0010750E"/>
    <w:rsid w:val="00182977"/>
    <w:rsid w:val="001C3DA5"/>
    <w:rsid w:val="001D686C"/>
    <w:rsid w:val="001E0998"/>
    <w:rsid w:val="002127AD"/>
    <w:rsid w:val="00220443"/>
    <w:rsid w:val="002625D6"/>
    <w:rsid w:val="002D790E"/>
    <w:rsid w:val="002F5E11"/>
    <w:rsid w:val="0039471E"/>
    <w:rsid w:val="003B1733"/>
    <w:rsid w:val="00420E4B"/>
    <w:rsid w:val="00467DBF"/>
    <w:rsid w:val="00485800"/>
    <w:rsid w:val="004871C3"/>
    <w:rsid w:val="004879CC"/>
    <w:rsid w:val="00586E3A"/>
    <w:rsid w:val="005B3093"/>
    <w:rsid w:val="005B3EDF"/>
    <w:rsid w:val="005B503D"/>
    <w:rsid w:val="005D1F80"/>
    <w:rsid w:val="006079C7"/>
    <w:rsid w:val="00613E0C"/>
    <w:rsid w:val="0063545E"/>
    <w:rsid w:val="00655E56"/>
    <w:rsid w:val="00663D24"/>
    <w:rsid w:val="006837AB"/>
    <w:rsid w:val="006A223F"/>
    <w:rsid w:val="006D5476"/>
    <w:rsid w:val="006E0BC8"/>
    <w:rsid w:val="006F02D6"/>
    <w:rsid w:val="007009B6"/>
    <w:rsid w:val="00702047"/>
    <w:rsid w:val="00713406"/>
    <w:rsid w:val="00721D1F"/>
    <w:rsid w:val="007531BB"/>
    <w:rsid w:val="0075465B"/>
    <w:rsid w:val="007549D2"/>
    <w:rsid w:val="00776A28"/>
    <w:rsid w:val="00813B30"/>
    <w:rsid w:val="00816E32"/>
    <w:rsid w:val="00822B17"/>
    <w:rsid w:val="008251AF"/>
    <w:rsid w:val="00831B62"/>
    <w:rsid w:val="00835EFC"/>
    <w:rsid w:val="00854673"/>
    <w:rsid w:val="008633A2"/>
    <w:rsid w:val="00864733"/>
    <w:rsid w:val="00870F89"/>
    <w:rsid w:val="009245BE"/>
    <w:rsid w:val="0096243E"/>
    <w:rsid w:val="00984940"/>
    <w:rsid w:val="00993376"/>
    <w:rsid w:val="00993E76"/>
    <w:rsid w:val="009A2ED2"/>
    <w:rsid w:val="009B5B82"/>
    <w:rsid w:val="009D1B05"/>
    <w:rsid w:val="009F0C2B"/>
    <w:rsid w:val="00A0355F"/>
    <w:rsid w:val="00A62150"/>
    <w:rsid w:val="00A705A9"/>
    <w:rsid w:val="00A94A3D"/>
    <w:rsid w:val="00AA4ACF"/>
    <w:rsid w:val="00B411B1"/>
    <w:rsid w:val="00B63E5C"/>
    <w:rsid w:val="00BE303C"/>
    <w:rsid w:val="00BE5D80"/>
    <w:rsid w:val="00BF512F"/>
    <w:rsid w:val="00C64FAA"/>
    <w:rsid w:val="00CD29B0"/>
    <w:rsid w:val="00CF6D9B"/>
    <w:rsid w:val="00D014A0"/>
    <w:rsid w:val="00D14E76"/>
    <w:rsid w:val="00D309C5"/>
    <w:rsid w:val="00D54386"/>
    <w:rsid w:val="00D674AA"/>
    <w:rsid w:val="00D87200"/>
    <w:rsid w:val="00D94840"/>
    <w:rsid w:val="00D9789A"/>
    <w:rsid w:val="00DA13D4"/>
    <w:rsid w:val="00DE21C5"/>
    <w:rsid w:val="00DE3270"/>
    <w:rsid w:val="00DE5965"/>
    <w:rsid w:val="00E20EE6"/>
    <w:rsid w:val="00E35F1A"/>
    <w:rsid w:val="00EA4EC6"/>
    <w:rsid w:val="00EA649E"/>
    <w:rsid w:val="00ED1EA7"/>
    <w:rsid w:val="00F15C8B"/>
    <w:rsid w:val="00F278FF"/>
    <w:rsid w:val="00F520A9"/>
    <w:rsid w:val="00FC4DC5"/>
    <w:rsid w:val="00FE2D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179F3"/>
  <w15:chartTrackingRefBased/>
  <w15:docId w15:val="{2693C34C-117F-4731-9F61-3C6F1B98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CF6D9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F6D9B"/>
    <w:pPr>
      <w:ind w:left="720"/>
      <w:contextualSpacing/>
    </w:pPr>
  </w:style>
  <w:style w:type="character" w:styleId="Hypertextovodkaz">
    <w:name w:val="Hyperlink"/>
    <w:basedOn w:val="Standardnpsmoodstavce"/>
    <w:uiPriority w:val="99"/>
    <w:unhideWhenUsed/>
    <w:rsid w:val="00CF6D9B"/>
    <w:rPr>
      <w:color w:val="0563C1" w:themeColor="hyperlink"/>
      <w:u w:val="single"/>
    </w:rPr>
  </w:style>
  <w:style w:type="paragraph" w:customStyle="1" w:styleId="Default">
    <w:name w:val="Default"/>
    <w:rsid w:val="005B3093"/>
    <w:pPr>
      <w:autoSpaceDE w:val="0"/>
      <w:autoSpaceDN w:val="0"/>
      <w:adjustRightInd w:val="0"/>
      <w:spacing w:after="0" w:line="240" w:lineRule="auto"/>
    </w:pPr>
    <w:rPr>
      <w:rFonts w:ascii="Arial" w:hAnsi="Arial" w:cs="Arial"/>
      <w:color w:val="000000"/>
      <w:sz w:val="24"/>
      <w:szCs w:val="24"/>
    </w:rPr>
  </w:style>
  <w:style w:type="table" w:styleId="Jednoduchtabulka2">
    <w:name w:val="Table Simple 2"/>
    <w:basedOn w:val="Normlntabulka"/>
    <w:uiPriority w:val="42"/>
    <w:rsid w:val="004879C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poznpodarou">
    <w:name w:val="footnote text"/>
    <w:basedOn w:val="Normln"/>
    <w:link w:val="TextpoznpodarouChar"/>
    <w:uiPriority w:val="99"/>
    <w:semiHidden/>
    <w:unhideWhenUsed/>
    <w:rsid w:val="004871C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871C3"/>
    <w:rPr>
      <w:sz w:val="20"/>
      <w:szCs w:val="20"/>
    </w:rPr>
  </w:style>
  <w:style w:type="character" w:styleId="Znakapoznpodarou">
    <w:name w:val="footnote reference"/>
    <w:basedOn w:val="Standardnpsmoodstavce"/>
    <w:uiPriority w:val="99"/>
    <w:semiHidden/>
    <w:unhideWhenUsed/>
    <w:rsid w:val="004871C3"/>
    <w:rPr>
      <w:vertAlign w:val="superscript"/>
    </w:rPr>
  </w:style>
  <w:style w:type="paragraph" w:styleId="Textvysvtlivek">
    <w:name w:val="endnote text"/>
    <w:basedOn w:val="Normln"/>
    <w:link w:val="TextvysvtlivekChar"/>
    <w:uiPriority w:val="99"/>
    <w:semiHidden/>
    <w:unhideWhenUsed/>
    <w:rsid w:val="0096243E"/>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96243E"/>
    <w:rPr>
      <w:sz w:val="20"/>
      <w:szCs w:val="20"/>
    </w:rPr>
  </w:style>
  <w:style w:type="character" w:styleId="Odkaznavysvtlivky">
    <w:name w:val="endnote reference"/>
    <w:basedOn w:val="Standardnpsmoodstavce"/>
    <w:uiPriority w:val="99"/>
    <w:semiHidden/>
    <w:unhideWhenUsed/>
    <w:rsid w:val="0096243E"/>
    <w:rPr>
      <w:vertAlign w:val="superscript"/>
    </w:rPr>
  </w:style>
  <w:style w:type="paragraph" w:styleId="Zhlav">
    <w:name w:val="header"/>
    <w:basedOn w:val="Normln"/>
    <w:link w:val="ZhlavChar"/>
    <w:uiPriority w:val="99"/>
    <w:unhideWhenUsed/>
    <w:rsid w:val="001E099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E0998"/>
  </w:style>
  <w:style w:type="paragraph" w:styleId="Zpat">
    <w:name w:val="footer"/>
    <w:basedOn w:val="Normln"/>
    <w:link w:val="ZpatChar"/>
    <w:uiPriority w:val="99"/>
    <w:unhideWhenUsed/>
    <w:rsid w:val="001E0998"/>
    <w:pPr>
      <w:tabs>
        <w:tab w:val="center" w:pos="4536"/>
        <w:tab w:val="right" w:pos="9072"/>
      </w:tabs>
      <w:spacing w:after="0" w:line="240" w:lineRule="auto"/>
    </w:pPr>
  </w:style>
  <w:style w:type="character" w:customStyle="1" w:styleId="ZpatChar">
    <w:name w:val="Zápatí Char"/>
    <w:basedOn w:val="Standardnpsmoodstavce"/>
    <w:link w:val="Zpat"/>
    <w:uiPriority w:val="99"/>
    <w:rsid w:val="001E0998"/>
  </w:style>
  <w:style w:type="paragraph" w:customStyle="1" w:styleId="p1">
    <w:name w:val="p1"/>
    <w:basedOn w:val="Normln"/>
    <w:rsid w:val="00DE5965"/>
    <w:pPr>
      <w:spacing w:after="0" w:line="240" w:lineRule="auto"/>
    </w:pPr>
    <w:rPr>
      <w:rFonts w:ascii="Arial" w:hAnsi="Arial" w:cs="Arial"/>
      <w:sz w:val="18"/>
      <w:szCs w:val="18"/>
      <w:lang w:eastAsia="cs-CZ"/>
    </w:rPr>
  </w:style>
  <w:style w:type="paragraph" w:customStyle="1" w:styleId="p2">
    <w:name w:val="p2"/>
    <w:basedOn w:val="Normln"/>
    <w:rsid w:val="00DE5965"/>
    <w:pPr>
      <w:spacing w:after="0" w:line="240" w:lineRule="auto"/>
    </w:pPr>
    <w:rPr>
      <w:rFonts w:ascii="Arial" w:hAnsi="Arial" w:cs="Arial"/>
      <w:sz w:val="17"/>
      <w:szCs w:val="17"/>
      <w:lang w:eastAsia="cs-CZ"/>
    </w:rPr>
  </w:style>
  <w:style w:type="character" w:customStyle="1" w:styleId="s1">
    <w:name w:val="s1"/>
    <w:basedOn w:val="Standardnpsmoodstavce"/>
    <w:rsid w:val="00DE5965"/>
    <w:rPr>
      <w:rFonts w:ascii="Arial" w:hAnsi="Arial" w:cs="Arial" w:hint="default"/>
      <w:sz w:val="11"/>
      <w:szCs w:val="11"/>
    </w:rPr>
  </w:style>
  <w:style w:type="character" w:customStyle="1" w:styleId="apple-converted-space">
    <w:name w:val="apple-converted-space"/>
    <w:basedOn w:val="Standardnpsmoodstavce"/>
    <w:rsid w:val="00DE5965"/>
  </w:style>
  <w:style w:type="paragraph" w:customStyle="1" w:styleId="p3">
    <w:name w:val="p3"/>
    <w:basedOn w:val="Normln"/>
    <w:rsid w:val="00D94840"/>
    <w:pPr>
      <w:spacing w:after="0" w:line="240" w:lineRule="auto"/>
    </w:pPr>
    <w:rPr>
      <w:rFonts w:ascii="Arial" w:hAnsi="Arial" w:cs="Arial"/>
      <w:sz w:val="17"/>
      <w:szCs w:val="17"/>
      <w:lang w:eastAsia="cs-CZ"/>
    </w:rPr>
  </w:style>
  <w:style w:type="paragraph" w:customStyle="1" w:styleId="p4">
    <w:name w:val="p4"/>
    <w:basedOn w:val="Normln"/>
    <w:rsid w:val="00BE303C"/>
    <w:pPr>
      <w:spacing w:after="0" w:line="240" w:lineRule="auto"/>
    </w:pPr>
    <w:rPr>
      <w:rFonts w:ascii="Arial" w:hAnsi="Arial" w:cs="Arial"/>
      <w:sz w:val="15"/>
      <w:szCs w:val="15"/>
      <w:lang w:eastAsia="cs-CZ"/>
    </w:rPr>
  </w:style>
  <w:style w:type="character" w:styleId="Sledovanodkaz">
    <w:name w:val="FollowedHyperlink"/>
    <w:basedOn w:val="Standardnpsmoodstavce"/>
    <w:uiPriority w:val="99"/>
    <w:semiHidden/>
    <w:unhideWhenUsed/>
    <w:rsid w:val="006837AB"/>
    <w:rPr>
      <w:color w:val="954F72" w:themeColor="followedHyperlink"/>
      <w:u w:val="single"/>
    </w:rPr>
  </w:style>
  <w:style w:type="character" w:styleId="Nevyeenzmnka">
    <w:name w:val="Unresolved Mention"/>
    <w:basedOn w:val="Standardnpsmoodstavce"/>
    <w:uiPriority w:val="99"/>
    <w:rsid w:val="006837AB"/>
    <w:rPr>
      <w:color w:val="605E5C"/>
      <w:shd w:val="clear" w:color="auto" w:fill="E1DFDD"/>
    </w:rPr>
  </w:style>
  <w:style w:type="paragraph" w:styleId="Bezmezer">
    <w:name w:val="No Spacing"/>
    <w:uiPriority w:val="1"/>
    <w:qFormat/>
    <w:rsid w:val="00C64F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119687">
      <w:bodyDiv w:val="1"/>
      <w:marLeft w:val="0"/>
      <w:marRight w:val="0"/>
      <w:marTop w:val="0"/>
      <w:marBottom w:val="0"/>
      <w:divBdr>
        <w:top w:val="none" w:sz="0" w:space="0" w:color="auto"/>
        <w:left w:val="none" w:sz="0" w:space="0" w:color="auto"/>
        <w:bottom w:val="none" w:sz="0" w:space="0" w:color="auto"/>
        <w:right w:val="none" w:sz="0" w:space="0" w:color="auto"/>
      </w:divBdr>
    </w:div>
    <w:div w:id="361832792">
      <w:bodyDiv w:val="1"/>
      <w:marLeft w:val="0"/>
      <w:marRight w:val="0"/>
      <w:marTop w:val="0"/>
      <w:marBottom w:val="0"/>
      <w:divBdr>
        <w:top w:val="none" w:sz="0" w:space="0" w:color="auto"/>
        <w:left w:val="none" w:sz="0" w:space="0" w:color="auto"/>
        <w:bottom w:val="none" w:sz="0" w:space="0" w:color="auto"/>
        <w:right w:val="none" w:sz="0" w:space="0" w:color="auto"/>
      </w:divBdr>
    </w:div>
    <w:div w:id="366373348">
      <w:bodyDiv w:val="1"/>
      <w:marLeft w:val="0"/>
      <w:marRight w:val="0"/>
      <w:marTop w:val="0"/>
      <w:marBottom w:val="0"/>
      <w:divBdr>
        <w:top w:val="none" w:sz="0" w:space="0" w:color="auto"/>
        <w:left w:val="none" w:sz="0" w:space="0" w:color="auto"/>
        <w:bottom w:val="none" w:sz="0" w:space="0" w:color="auto"/>
        <w:right w:val="none" w:sz="0" w:space="0" w:color="auto"/>
      </w:divBdr>
    </w:div>
    <w:div w:id="412435113">
      <w:bodyDiv w:val="1"/>
      <w:marLeft w:val="0"/>
      <w:marRight w:val="0"/>
      <w:marTop w:val="0"/>
      <w:marBottom w:val="0"/>
      <w:divBdr>
        <w:top w:val="none" w:sz="0" w:space="0" w:color="auto"/>
        <w:left w:val="none" w:sz="0" w:space="0" w:color="auto"/>
        <w:bottom w:val="none" w:sz="0" w:space="0" w:color="auto"/>
        <w:right w:val="none" w:sz="0" w:space="0" w:color="auto"/>
      </w:divBdr>
    </w:div>
    <w:div w:id="574246957">
      <w:bodyDiv w:val="1"/>
      <w:marLeft w:val="0"/>
      <w:marRight w:val="0"/>
      <w:marTop w:val="0"/>
      <w:marBottom w:val="0"/>
      <w:divBdr>
        <w:top w:val="none" w:sz="0" w:space="0" w:color="auto"/>
        <w:left w:val="none" w:sz="0" w:space="0" w:color="auto"/>
        <w:bottom w:val="none" w:sz="0" w:space="0" w:color="auto"/>
        <w:right w:val="none" w:sz="0" w:space="0" w:color="auto"/>
      </w:divBdr>
    </w:div>
    <w:div w:id="654407786">
      <w:bodyDiv w:val="1"/>
      <w:marLeft w:val="0"/>
      <w:marRight w:val="0"/>
      <w:marTop w:val="0"/>
      <w:marBottom w:val="0"/>
      <w:divBdr>
        <w:top w:val="none" w:sz="0" w:space="0" w:color="auto"/>
        <w:left w:val="none" w:sz="0" w:space="0" w:color="auto"/>
        <w:bottom w:val="none" w:sz="0" w:space="0" w:color="auto"/>
        <w:right w:val="none" w:sz="0" w:space="0" w:color="auto"/>
      </w:divBdr>
    </w:div>
    <w:div w:id="681207515">
      <w:bodyDiv w:val="1"/>
      <w:marLeft w:val="0"/>
      <w:marRight w:val="0"/>
      <w:marTop w:val="0"/>
      <w:marBottom w:val="0"/>
      <w:divBdr>
        <w:top w:val="none" w:sz="0" w:space="0" w:color="auto"/>
        <w:left w:val="none" w:sz="0" w:space="0" w:color="auto"/>
        <w:bottom w:val="none" w:sz="0" w:space="0" w:color="auto"/>
        <w:right w:val="none" w:sz="0" w:space="0" w:color="auto"/>
      </w:divBdr>
    </w:div>
    <w:div w:id="1122961337">
      <w:bodyDiv w:val="1"/>
      <w:marLeft w:val="0"/>
      <w:marRight w:val="0"/>
      <w:marTop w:val="0"/>
      <w:marBottom w:val="0"/>
      <w:divBdr>
        <w:top w:val="none" w:sz="0" w:space="0" w:color="auto"/>
        <w:left w:val="none" w:sz="0" w:space="0" w:color="auto"/>
        <w:bottom w:val="none" w:sz="0" w:space="0" w:color="auto"/>
        <w:right w:val="none" w:sz="0" w:space="0" w:color="auto"/>
      </w:divBdr>
    </w:div>
    <w:div w:id="1347293861">
      <w:bodyDiv w:val="1"/>
      <w:marLeft w:val="0"/>
      <w:marRight w:val="0"/>
      <w:marTop w:val="0"/>
      <w:marBottom w:val="0"/>
      <w:divBdr>
        <w:top w:val="none" w:sz="0" w:space="0" w:color="auto"/>
        <w:left w:val="none" w:sz="0" w:space="0" w:color="auto"/>
        <w:bottom w:val="none" w:sz="0" w:space="0" w:color="auto"/>
        <w:right w:val="none" w:sz="0" w:space="0" w:color="auto"/>
      </w:divBdr>
    </w:div>
    <w:div w:id="1508328803">
      <w:bodyDiv w:val="1"/>
      <w:marLeft w:val="0"/>
      <w:marRight w:val="0"/>
      <w:marTop w:val="0"/>
      <w:marBottom w:val="0"/>
      <w:divBdr>
        <w:top w:val="none" w:sz="0" w:space="0" w:color="auto"/>
        <w:left w:val="none" w:sz="0" w:space="0" w:color="auto"/>
        <w:bottom w:val="none" w:sz="0" w:space="0" w:color="auto"/>
        <w:right w:val="none" w:sz="0" w:space="0" w:color="auto"/>
      </w:divBdr>
    </w:div>
    <w:div w:id="1568764064">
      <w:bodyDiv w:val="1"/>
      <w:marLeft w:val="0"/>
      <w:marRight w:val="0"/>
      <w:marTop w:val="0"/>
      <w:marBottom w:val="0"/>
      <w:divBdr>
        <w:top w:val="none" w:sz="0" w:space="0" w:color="auto"/>
        <w:left w:val="none" w:sz="0" w:space="0" w:color="auto"/>
        <w:bottom w:val="none" w:sz="0" w:space="0" w:color="auto"/>
        <w:right w:val="none" w:sz="0" w:space="0" w:color="auto"/>
      </w:divBdr>
    </w:div>
    <w:div w:id="1636374732">
      <w:bodyDiv w:val="1"/>
      <w:marLeft w:val="0"/>
      <w:marRight w:val="0"/>
      <w:marTop w:val="0"/>
      <w:marBottom w:val="0"/>
      <w:divBdr>
        <w:top w:val="none" w:sz="0" w:space="0" w:color="auto"/>
        <w:left w:val="none" w:sz="0" w:space="0" w:color="auto"/>
        <w:bottom w:val="none" w:sz="0" w:space="0" w:color="auto"/>
        <w:right w:val="none" w:sz="0" w:space="0" w:color="auto"/>
      </w:divBdr>
    </w:div>
    <w:div w:id="1754080646">
      <w:bodyDiv w:val="1"/>
      <w:marLeft w:val="0"/>
      <w:marRight w:val="0"/>
      <w:marTop w:val="0"/>
      <w:marBottom w:val="0"/>
      <w:divBdr>
        <w:top w:val="none" w:sz="0" w:space="0" w:color="auto"/>
        <w:left w:val="none" w:sz="0" w:space="0" w:color="auto"/>
        <w:bottom w:val="none" w:sz="0" w:space="0" w:color="auto"/>
        <w:right w:val="none" w:sz="0" w:space="0" w:color="auto"/>
      </w:divBdr>
    </w:div>
    <w:div w:id="1761097930">
      <w:bodyDiv w:val="1"/>
      <w:marLeft w:val="0"/>
      <w:marRight w:val="0"/>
      <w:marTop w:val="0"/>
      <w:marBottom w:val="0"/>
      <w:divBdr>
        <w:top w:val="none" w:sz="0" w:space="0" w:color="auto"/>
        <w:left w:val="none" w:sz="0" w:space="0" w:color="auto"/>
        <w:bottom w:val="none" w:sz="0" w:space="0" w:color="auto"/>
        <w:right w:val="none" w:sz="0" w:space="0" w:color="auto"/>
      </w:divBdr>
    </w:div>
    <w:div w:id="1829400324">
      <w:bodyDiv w:val="1"/>
      <w:marLeft w:val="0"/>
      <w:marRight w:val="0"/>
      <w:marTop w:val="0"/>
      <w:marBottom w:val="0"/>
      <w:divBdr>
        <w:top w:val="none" w:sz="0" w:space="0" w:color="auto"/>
        <w:left w:val="none" w:sz="0" w:space="0" w:color="auto"/>
        <w:bottom w:val="none" w:sz="0" w:space="0" w:color="auto"/>
        <w:right w:val="none" w:sz="0" w:space="0" w:color="auto"/>
      </w:divBdr>
    </w:div>
    <w:div w:id="209939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if.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10CD4-E644-0C41-9866-2A70BEAD2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10</Pages>
  <Words>3531</Words>
  <Characters>20835</Characters>
  <Application>Microsoft Office Word</Application>
  <DocSecurity>0</DocSecurity>
  <Lines>173</Lines>
  <Paragraphs>48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24318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Andrea Medunová</cp:lastModifiedBy>
  <cp:revision>21</cp:revision>
  <cp:lastPrinted>2017-10-19T10:53:00Z</cp:lastPrinted>
  <dcterms:created xsi:type="dcterms:W3CDTF">2017-03-14T08:58:00Z</dcterms:created>
  <dcterms:modified xsi:type="dcterms:W3CDTF">2021-01-20T08:49:00Z</dcterms:modified>
</cp:coreProperties>
</file>